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014B16BC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DC1D35">
        <w:rPr>
          <w:rFonts w:ascii="Arial" w:hAnsi="Arial" w:cs="Arial"/>
          <w:b/>
          <w:bCs/>
          <w:spacing w:val="3"/>
          <w:sz w:val="24"/>
          <w:szCs w:val="24"/>
        </w:rPr>
        <w:t>#</w:t>
      </w:r>
      <w:r w:rsidR="0008386F" w:rsidRPr="00DC1D35">
        <w:rPr>
          <w:rFonts w:ascii="Arial" w:hAnsi="Arial" w:cs="Arial"/>
          <w:b/>
          <w:bCs/>
          <w:spacing w:val="3"/>
          <w:sz w:val="24"/>
          <w:szCs w:val="24"/>
        </w:rPr>
        <w:t>26-</w:t>
      </w:r>
      <w:r w:rsidR="00AB7A4E" w:rsidRPr="00DC1D35">
        <w:rPr>
          <w:rFonts w:ascii="Arial" w:hAnsi="Arial" w:cs="Arial"/>
          <w:b/>
          <w:bCs/>
          <w:spacing w:val="3"/>
          <w:sz w:val="24"/>
          <w:szCs w:val="24"/>
        </w:rPr>
        <w:t>0299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E3EBA9E">
              <v:line id="Line 5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-3pt,1.2pt" to="464.5pt,1.2pt" w14:anchorId="14458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CE6C184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B124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>,</w:t>
      </w:r>
      <w:r w:rsidR="00AB1244">
        <w:rPr>
          <w:rFonts w:ascii="Arial" w:hAnsi="Arial" w:cs="Arial"/>
          <w:spacing w:val="-2"/>
          <w:sz w:val="24"/>
          <w:szCs w:val="24"/>
        </w:rPr>
        <w:t xml:space="preserve">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0B29B71A" w:rsidR="00775C23" w:rsidRDefault="260C60EC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C1DAE5C">
        <w:rPr>
          <w:rFonts w:ascii="Arial" w:hAnsi="Arial" w:cs="Arial"/>
          <w:b/>
          <w:bCs/>
          <w:sz w:val="24"/>
          <w:szCs w:val="24"/>
        </w:rPr>
        <w:t>DATE</w:t>
      </w:r>
      <w:r w:rsidRPr="1C1DAE5C">
        <w:rPr>
          <w:rFonts w:ascii="Arial" w:hAnsi="Arial" w:cs="Arial"/>
          <w:sz w:val="24"/>
          <w:szCs w:val="24"/>
        </w:rPr>
        <w:t>:</w:t>
      </w:r>
      <w:r>
        <w:tab/>
      </w:r>
      <w:r w:rsidR="44C9713C" w:rsidRPr="1C1DAE5C">
        <w:rPr>
          <w:rFonts w:ascii="Arial" w:hAnsi="Arial" w:cs="Arial"/>
          <w:sz w:val="24"/>
          <w:szCs w:val="24"/>
        </w:rPr>
        <w:t>April 7</w:t>
      </w:r>
      <w:r w:rsidR="1D46329D" w:rsidRPr="1C1DAE5C">
        <w:rPr>
          <w:rFonts w:ascii="Arial" w:hAnsi="Arial" w:cs="Arial"/>
          <w:sz w:val="24"/>
          <w:szCs w:val="24"/>
        </w:rPr>
        <w:t>, 2026</w:t>
      </w:r>
    </w:p>
    <w:p w14:paraId="5CD406BE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28039" w14:textId="09046872" w:rsidR="009709DB" w:rsidRDefault="45920D6B" w:rsidP="1AD720F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151A2D0B">
        <w:rPr>
          <w:rFonts w:ascii="Arial" w:hAnsi="Arial" w:cs="Arial"/>
          <w:b/>
          <w:bCs/>
          <w:sz w:val="24"/>
          <w:szCs w:val="24"/>
        </w:rPr>
        <w:t>TITLE</w:t>
      </w:r>
      <w:r w:rsidRPr="151A2D0B">
        <w:rPr>
          <w:rFonts w:ascii="Arial" w:hAnsi="Arial" w:cs="Arial"/>
          <w:sz w:val="24"/>
          <w:szCs w:val="24"/>
        </w:rPr>
        <w:t>:</w:t>
      </w:r>
      <w:r>
        <w:tab/>
      </w:r>
      <w:bookmarkStart w:id="1" w:name="_Hlk198034724"/>
      <w:r w:rsidR="5CAF4E72" w:rsidRPr="151A2D0B">
        <w:rPr>
          <w:rFonts w:ascii="Arial" w:hAnsi="Arial" w:cs="Arial"/>
          <w:sz w:val="24"/>
          <w:szCs w:val="24"/>
        </w:rPr>
        <w:t>Public Hearing - Resolution Approving the Re-Allocation of Funds from the Parks General Obligation Bond in the Amount of $774,146.88 from North Fork Elementary School Improvement Project</w:t>
      </w:r>
      <w:r w:rsidR="00845423">
        <w:rPr>
          <w:rFonts w:ascii="Arial" w:hAnsi="Arial" w:cs="Arial"/>
          <w:sz w:val="24"/>
          <w:szCs w:val="24"/>
        </w:rPr>
        <w:t>, by Allocating and Transferring $474,146.88</w:t>
      </w:r>
      <w:r w:rsidR="5CAF4E72" w:rsidRPr="151A2D0B">
        <w:rPr>
          <w:rFonts w:ascii="Arial" w:hAnsi="Arial" w:cs="Arial"/>
          <w:sz w:val="24"/>
          <w:szCs w:val="24"/>
        </w:rPr>
        <w:t xml:space="preserve"> to the Bass Park Improvement Project and </w:t>
      </w:r>
      <w:r w:rsidR="00845423">
        <w:rPr>
          <w:rFonts w:ascii="Arial" w:hAnsi="Arial" w:cs="Arial"/>
          <w:sz w:val="24"/>
          <w:szCs w:val="24"/>
        </w:rPr>
        <w:t xml:space="preserve">Allocating and Transferring $300,000 to the </w:t>
      </w:r>
      <w:r w:rsidR="5CAF4E72" w:rsidRPr="151A2D0B">
        <w:rPr>
          <w:rFonts w:ascii="Arial" w:hAnsi="Arial" w:cs="Arial"/>
          <w:sz w:val="24"/>
          <w:szCs w:val="24"/>
        </w:rPr>
        <w:t>Lauderdale Isles Landing Improvement Project</w:t>
      </w:r>
      <w:r w:rsidR="320A1AA0" w:rsidRPr="151A2D0B">
        <w:rPr>
          <w:rFonts w:ascii="Arial" w:hAnsi="Arial" w:cs="Arial"/>
          <w:sz w:val="24"/>
          <w:szCs w:val="24"/>
        </w:rPr>
        <w:t xml:space="preserve"> </w:t>
      </w:r>
      <w:r w:rsidR="3C53A66F" w:rsidRPr="151A2D0B">
        <w:rPr>
          <w:rFonts w:ascii="Arial" w:hAnsi="Arial" w:cs="Arial"/>
          <w:sz w:val="24"/>
          <w:szCs w:val="24"/>
        </w:rPr>
        <w:t>-</w:t>
      </w:r>
      <w:r w:rsidR="320A1AA0" w:rsidRPr="151A2D0B">
        <w:rPr>
          <w:rFonts w:ascii="Arial" w:hAnsi="Arial" w:cs="Arial"/>
          <w:b/>
          <w:bCs/>
          <w:sz w:val="24"/>
          <w:szCs w:val="24"/>
        </w:rPr>
        <w:t xml:space="preserve"> (Commission Districts 3 and 4)</w:t>
      </w:r>
    </w:p>
    <w:bookmarkEnd w:id="1"/>
    <w:p w14:paraId="1350CA33" w14:textId="77777777" w:rsidR="00CE2F1B" w:rsidRPr="00CB716B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1A82C2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101B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33197433" w14:textId="4C94CD6D" w:rsidR="003B2F38" w:rsidRPr="003718F7" w:rsidRDefault="2B3E54A9" w:rsidP="10955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C1DAE5C">
        <w:rPr>
          <w:rFonts w:ascii="Arial" w:hAnsi="Arial" w:cs="Arial"/>
          <w:sz w:val="24"/>
          <w:szCs w:val="24"/>
        </w:rPr>
        <w:t>Staff recommends the City Commission approve the reallocation of $</w:t>
      </w:r>
      <w:r w:rsidR="1043E58B" w:rsidRPr="1C1DAE5C">
        <w:rPr>
          <w:rFonts w:ascii="Arial" w:hAnsi="Arial" w:cs="Arial"/>
          <w:sz w:val="24"/>
          <w:szCs w:val="24"/>
        </w:rPr>
        <w:t>774,146.88</w:t>
      </w:r>
      <w:r w:rsidRPr="1C1DAE5C">
        <w:rPr>
          <w:rFonts w:ascii="Arial" w:hAnsi="Arial" w:cs="Arial"/>
          <w:sz w:val="24"/>
          <w:szCs w:val="24"/>
        </w:rPr>
        <w:t xml:space="preserve"> in Parks General Obligation Bond funds from the North Fork Elementary School project as follows: (1) </w:t>
      </w:r>
      <w:r w:rsidR="5B581B08" w:rsidRPr="1C1DAE5C">
        <w:rPr>
          <w:rFonts w:ascii="Arial" w:eastAsia="Arial" w:hAnsi="Arial" w:cs="Arial"/>
          <w:sz w:val="24"/>
          <w:szCs w:val="24"/>
        </w:rPr>
        <w:t xml:space="preserve"> </w:t>
      </w:r>
      <w:r w:rsidR="00766F29">
        <w:rPr>
          <w:rFonts w:ascii="Arial" w:eastAsia="Arial" w:hAnsi="Arial" w:cs="Arial"/>
          <w:sz w:val="24"/>
          <w:szCs w:val="24"/>
        </w:rPr>
        <w:t>t</w:t>
      </w:r>
      <w:r w:rsidR="5B581B08" w:rsidRPr="1C1DAE5C">
        <w:rPr>
          <w:rFonts w:ascii="Arial" w:eastAsia="Arial" w:hAnsi="Arial" w:cs="Arial"/>
          <w:sz w:val="24"/>
          <w:szCs w:val="24"/>
        </w:rPr>
        <w:t>ransfer</w:t>
      </w:r>
      <w:r w:rsidRPr="1C1DAE5C">
        <w:rPr>
          <w:rFonts w:ascii="Arial" w:hAnsi="Arial" w:cs="Arial"/>
          <w:sz w:val="24"/>
          <w:szCs w:val="24"/>
        </w:rPr>
        <w:t xml:space="preserve"> $4</w:t>
      </w:r>
      <w:r w:rsidR="086092F7" w:rsidRPr="1C1DAE5C">
        <w:rPr>
          <w:rFonts w:ascii="Arial" w:hAnsi="Arial" w:cs="Arial"/>
          <w:sz w:val="24"/>
          <w:szCs w:val="24"/>
        </w:rPr>
        <w:t>37,29</w:t>
      </w:r>
      <w:r w:rsidR="6E500DFE" w:rsidRPr="1C1DAE5C">
        <w:rPr>
          <w:rFonts w:ascii="Arial" w:hAnsi="Arial" w:cs="Arial"/>
          <w:sz w:val="24"/>
          <w:szCs w:val="24"/>
        </w:rPr>
        <w:t>6.88</w:t>
      </w:r>
      <w:r w:rsidRPr="1C1DAE5C">
        <w:rPr>
          <w:rFonts w:ascii="Arial" w:hAnsi="Arial" w:cs="Arial"/>
          <w:sz w:val="24"/>
          <w:szCs w:val="24"/>
        </w:rPr>
        <w:t xml:space="preserve"> to Bass Park for </w:t>
      </w:r>
      <w:r w:rsidR="0AD730D6" w:rsidRPr="1C1DAE5C">
        <w:rPr>
          <w:rFonts w:ascii="Arial" w:eastAsia="Arial" w:hAnsi="Arial" w:cs="Arial"/>
          <w:sz w:val="24"/>
          <w:szCs w:val="24"/>
        </w:rPr>
        <w:t>construction</w:t>
      </w:r>
      <w:r w:rsidR="0AD730D6" w:rsidRPr="1C1DAE5C">
        <w:rPr>
          <w:rFonts w:ascii="Arial" w:hAnsi="Arial" w:cs="Arial"/>
          <w:sz w:val="24"/>
          <w:szCs w:val="24"/>
        </w:rPr>
        <w:t xml:space="preserve"> </w:t>
      </w:r>
      <w:r w:rsidRPr="1C1DAE5C">
        <w:rPr>
          <w:rFonts w:ascii="Arial" w:hAnsi="Arial" w:cs="Arial"/>
          <w:sz w:val="24"/>
          <w:szCs w:val="24"/>
        </w:rPr>
        <w:t>contingency; (2) transfer $</w:t>
      </w:r>
      <w:r w:rsidR="5E1062A3" w:rsidRPr="1C1DAE5C">
        <w:rPr>
          <w:rFonts w:ascii="Arial" w:hAnsi="Arial" w:cs="Arial"/>
          <w:sz w:val="24"/>
          <w:szCs w:val="24"/>
        </w:rPr>
        <w:t>3</w:t>
      </w:r>
      <w:r w:rsidRPr="1C1DAE5C">
        <w:rPr>
          <w:rFonts w:ascii="Arial" w:hAnsi="Arial" w:cs="Arial"/>
          <w:sz w:val="24"/>
          <w:szCs w:val="24"/>
        </w:rPr>
        <w:t>6,</w:t>
      </w:r>
      <w:r w:rsidR="21692739" w:rsidRPr="1C1DAE5C">
        <w:rPr>
          <w:rFonts w:ascii="Arial" w:hAnsi="Arial" w:cs="Arial"/>
          <w:sz w:val="24"/>
          <w:szCs w:val="24"/>
        </w:rPr>
        <w:t>85</w:t>
      </w:r>
      <w:r w:rsidRPr="1C1DAE5C">
        <w:rPr>
          <w:rFonts w:ascii="Arial" w:hAnsi="Arial" w:cs="Arial"/>
          <w:sz w:val="24"/>
          <w:szCs w:val="24"/>
        </w:rPr>
        <w:t xml:space="preserve">0 to Bass Park </w:t>
      </w:r>
      <w:r w:rsidR="478FD568" w:rsidRPr="1C1DAE5C">
        <w:rPr>
          <w:rFonts w:ascii="Arial" w:hAnsi="Arial" w:cs="Arial"/>
          <w:sz w:val="24"/>
          <w:szCs w:val="24"/>
        </w:rPr>
        <w:t xml:space="preserve">for </w:t>
      </w:r>
      <w:r w:rsidR="12DEC4E7" w:rsidRPr="1C1DAE5C">
        <w:rPr>
          <w:rFonts w:ascii="Arial" w:eastAsia="Arial" w:hAnsi="Arial" w:cs="Arial"/>
          <w:sz w:val="24"/>
          <w:szCs w:val="24"/>
        </w:rPr>
        <w:t>additional preconstruction</w:t>
      </w:r>
      <w:r w:rsidR="12DEC4E7" w:rsidRPr="1C1DAE5C">
        <w:rPr>
          <w:rFonts w:ascii="Arial" w:hAnsi="Arial" w:cs="Arial"/>
          <w:sz w:val="24"/>
          <w:szCs w:val="24"/>
        </w:rPr>
        <w:t xml:space="preserve"> services, </w:t>
      </w:r>
      <w:r w:rsidRPr="1C1DAE5C">
        <w:rPr>
          <w:rFonts w:ascii="Arial" w:hAnsi="Arial" w:cs="Arial"/>
          <w:sz w:val="24"/>
          <w:szCs w:val="24"/>
        </w:rPr>
        <w:t>construction inspection services</w:t>
      </w:r>
      <w:r w:rsidR="309185A7" w:rsidRPr="1C1DAE5C">
        <w:rPr>
          <w:rFonts w:ascii="Arial" w:hAnsi="Arial" w:cs="Arial"/>
          <w:sz w:val="24"/>
          <w:szCs w:val="24"/>
        </w:rPr>
        <w:t xml:space="preserve">, and </w:t>
      </w:r>
      <w:r w:rsidR="4B38B74D" w:rsidRPr="1C1DAE5C">
        <w:rPr>
          <w:rFonts w:ascii="Arial" w:hAnsi="Arial" w:cs="Arial"/>
          <w:sz w:val="24"/>
          <w:szCs w:val="24"/>
        </w:rPr>
        <w:t>special inspections</w:t>
      </w:r>
      <w:r w:rsidRPr="1C1DAE5C">
        <w:rPr>
          <w:rFonts w:ascii="Arial" w:hAnsi="Arial" w:cs="Arial"/>
          <w:sz w:val="24"/>
          <w:szCs w:val="24"/>
        </w:rPr>
        <w:t>; and (3) return $300,000 to District 4 to be applied to Lauderdale Isles Landing to address an existing funding gap.</w:t>
      </w:r>
    </w:p>
    <w:p w14:paraId="4A900AC1" w14:textId="77777777" w:rsidR="003718F7" w:rsidRPr="00195D42" w:rsidRDefault="003718F7" w:rsidP="00101B56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Pr="00960269" w:rsidRDefault="007A16E0" w:rsidP="00101B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0192CB32" w14:textId="0399A7B1" w:rsidR="00442AC2" w:rsidRDefault="7A412271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1AD720FE">
        <w:rPr>
          <w:rFonts w:ascii="Arial" w:eastAsia="Arial" w:hAnsi="Arial" w:cs="Arial"/>
          <w:sz w:val="24"/>
          <w:szCs w:val="24"/>
        </w:rPr>
        <w:t xml:space="preserve">On March 12, 2019, Fort Lauderdale voters approved a </w:t>
      </w:r>
      <w:r w:rsidR="00766F29">
        <w:rPr>
          <w:rFonts w:ascii="Arial" w:eastAsia="Arial" w:hAnsi="Arial" w:cs="Arial"/>
          <w:sz w:val="24"/>
          <w:szCs w:val="24"/>
        </w:rPr>
        <w:t xml:space="preserve">Parks </w:t>
      </w:r>
      <w:r w:rsidRPr="1AD720FE">
        <w:rPr>
          <w:rFonts w:ascii="Arial" w:eastAsia="Arial" w:hAnsi="Arial" w:cs="Arial"/>
          <w:sz w:val="24"/>
          <w:szCs w:val="24"/>
        </w:rPr>
        <w:t>General Obligation Bond</w:t>
      </w:r>
      <w:r w:rsidR="00766F29">
        <w:rPr>
          <w:rFonts w:ascii="Arial" w:eastAsia="Arial" w:hAnsi="Arial" w:cs="Arial"/>
          <w:sz w:val="24"/>
          <w:szCs w:val="24"/>
        </w:rPr>
        <w:t xml:space="preserve"> (Parks Bond)</w:t>
      </w:r>
      <w:r w:rsidRPr="1AD720FE">
        <w:rPr>
          <w:rFonts w:ascii="Arial" w:eastAsia="Arial" w:hAnsi="Arial" w:cs="Arial"/>
          <w:sz w:val="24"/>
          <w:szCs w:val="24"/>
        </w:rPr>
        <w:t xml:space="preserve"> referendum authorizing up to $200 million for parks and recreational facilities</w:t>
      </w:r>
      <w:r w:rsidR="41EE7275" w:rsidRPr="1AD720FE">
        <w:rPr>
          <w:rFonts w:ascii="Arial" w:eastAsia="Arial" w:hAnsi="Arial" w:cs="Arial"/>
          <w:sz w:val="24"/>
          <w:szCs w:val="24"/>
        </w:rPr>
        <w:t xml:space="preserve"> (Exhibit 1).</w:t>
      </w:r>
      <w:r w:rsidRPr="1AD720FE">
        <w:rPr>
          <w:rFonts w:ascii="Arial" w:eastAsia="Arial" w:hAnsi="Arial" w:cs="Arial"/>
          <w:sz w:val="24"/>
          <w:szCs w:val="24"/>
        </w:rPr>
        <w:t xml:space="preserve"> On May 3, 2022, the City Commission directed staff to fund approved school and park improvement projects under the Parks Bond Program, as well as additional projects not originally included</w:t>
      </w:r>
      <w:r w:rsidR="1E133C1B" w:rsidRPr="1AD720FE">
        <w:rPr>
          <w:rFonts w:ascii="Arial" w:eastAsia="Arial" w:hAnsi="Arial" w:cs="Arial"/>
          <w:sz w:val="24"/>
          <w:szCs w:val="24"/>
        </w:rPr>
        <w:t xml:space="preserve"> (Exhibit </w:t>
      </w:r>
      <w:r w:rsidR="41EE7275" w:rsidRPr="1AD720FE">
        <w:rPr>
          <w:rFonts w:ascii="Arial" w:eastAsia="Arial" w:hAnsi="Arial" w:cs="Arial"/>
          <w:sz w:val="24"/>
          <w:szCs w:val="24"/>
        </w:rPr>
        <w:t>2</w:t>
      </w:r>
      <w:r w:rsidR="1E133C1B" w:rsidRPr="1AD720FE">
        <w:rPr>
          <w:rFonts w:ascii="Arial" w:eastAsia="Arial" w:hAnsi="Arial" w:cs="Arial"/>
          <w:sz w:val="24"/>
          <w:szCs w:val="24"/>
        </w:rPr>
        <w:t>).</w:t>
      </w:r>
      <w:r w:rsidRPr="1AD720FE">
        <w:rPr>
          <w:rFonts w:ascii="Arial" w:eastAsia="Arial" w:hAnsi="Arial" w:cs="Arial"/>
          <w:sz w:val="24"/>
          <w:szCs w:val="24"/>
        </w:rPr>
        <w:t xml:space="preserve"> This action created a funding gap of $1,087,500, which was addressed using Parks Bond land acquisition funds assigned to District 4</w:t>
      </w:r>
      <w:r w:rsidR="00B004E6">
        <w:rPr>
          <w:rFonts w:ascii="Arial" w:eastAsia="Arial" w:hAnsi="Arial" w:cs="Arial"/>
          <w:sz w:val="24"/>
          <w:szCs w:val="24"/>
        </w:rPr>
        <w:t xml:space="preserve"> (Exhibit 3 and 4)</w:t>
      </w:r>
      <w:r w:rsidR="1E133C1B" w:rsidRPr="1AD720FE">
        <w:rPr>
          <w:rFonts w:ascii="Arial" w:eastAsia="Arial" w:hAnsi="Arial" w:cs="Arial"/>
          <w:sz w:val="24"/>
          <w:szCs w:val="24"/>
        </w:rPr>
        <w:t>.</w:t>
      </w:r>
    </w:p>
    <w:p w14:paraId="261B453E" w14:textId="77777777" w:rsidR="00442AC2" w:rsidRPr="00442AC2" w:rsidRDefault="00442AC2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28AA59" w14:textId="0589E55B" w:rsidR="00442AC2" w:rsidRDefault="0037591E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7591E">
        <w:rPr>
          <w:rFonts w:ascii="Arial" w:eastAsia="Arial" w:hAnsi="Arial" w:cs="Arial"/>
          <w:sz w:val="24"/>
          <w:szCs w:val="24"/>
        </w:rPr>
        <w:t>North Fork Elementary School was one of the approved school park projects, with a total budget of $785,000. This included $300,000 from District 4 land acquisition funds and $485,000 from District 3 Parks Bond project funds. The school is now scheduled to close at the end of the 2026–2027 school year. After completion of planning and conceptual design services for the project, a remaining balance of $774,146.88 is available in the project budget.</w:t>
      </w:r>
    </w:p>
    <w:p w14:paraId="3BD7B56A" w14:textId="77777777" w:rsidR="0037591E" w:rsidRPr="00442AC2" w:rsidRDefault="0037591E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D05608" w14:textId="57A2ED2C" w:rsidR="00442AC2" w:rsidRDefault="0037591E" w:rsidP="10955B5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7591E">
        <w:rPr>
          <w:rFonts w:ascii="Arial" w:eastAsia="Arial" w:hAnsi="Arial" w:cs="Arial"/>
          <w:sz w:val="24"/>
          <w:szCs w:val="24"/>
        </w:rPr>
        <w:t xml:space="preserve">As the project will no longer move forward, staff recommends reallocating the remaining $774,146.88 to active Parks Bond projects. Of that amount, $437,296.88 would be </w:t>
      </w:r>
      <w:r w:rsidRPr="0037591E">
        <w:rPr>
          <w:rFonts w:ascii="Arial" w:eastAsia="Arial" w:hAnsi="Arial" w:cs="Arial"/>
          <w:sz w:val="24"/>
          <w:szCs w:val="24"/>
        </w:rPr>
        <w:lastRenderedPageBreak/>
        <w:t xml:space="preserve">allocated to Bass Park for construction contingency, representing 6.8% of the construction value, and $36,850 would be allocated to Bass Park for additional preconstruction, construction inspection, and special inspection services, for which no funding is currently budgeted. The remaining $300,000 </w:t>
      </w:r>
      <w:proofErr w:type="gramStart"/>
      <w:r w:rsidRPr="0037591E">
        <w:rPr>
          <w:rFonts w:ascii="Arial" w:eastAsia="Arial" w:hAnsi="Arial" w:cs="Arial"/>
          <w:sz w:val="24"/>
          <w:szCs w:val="24"/>
        </w:rPr>
        <w:t>would</w:t>
      </w:r>
      <w:proofErr w:type="gramEnd"/>
      <w:r w:rsidRPr="0037591E">
        <w:rPr>
          <w:rFonts w:ascii="Arial" w:eastAsia="Arial" w:hAnsi="Arial" w:cs="Arial"/>
          <w:sz w:val="24"/>
          <w:szCs w:val="24"/>
        </w:rPr>
        <w:t xml:space="preserve"> be returned to District 4 to help address the existing funding gap for the Lauderdale Isles Landing project.</w:t>
      </w:r>
    </w:p>
    <w:p w14:paraId="6A85B1EB" w14:textId="77777777" w:rsidR="00442AC2" w:rsidRPr="00442AC2" w:rsidRDefault="00442AC2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8121D6" w14:textId="4F3847E5" w:rsidR="00442AC2" w:rsidRDefault="00442AC2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42AC2">
        <w:rPr>
          <w:rFonts w:ascii="Arial" w:eastAsia="Arial" w:hAnsi="Arial" w:cs="Arial"/>
          <w:sz w:val="24"/>
          <w:szCs w:val="24"/>
        </w:rPr>
        <w:t>On February 25, 2026, the Parks, Recreation and Beaches Advisory Board reviewed and supported the proposed reallocation</w:t>
      </w:r>
      <w:r w:rsidR="00454654">
        <w:rPr>
          <w:rFonts w:ascii="Arial" w:eastAsia="Arial" w:hAnsi="Arial" w:cs="Arial"/>
          <w:sz w:val="24"/>
          <w:szCs w:val="24"/>
        </w:rPr>
        <w:t xml:space="preserve"> (Exhibit </w:t>
      </w:r>
      <w:r w:rsidR="00F90FED">
        <w:rPr>
          <w:rFonts w:ascii="Arial" w:eastAsia="Arial" w:hAnsi="Arial" w:cs="Arial"/>
          <w:sz w:val="24"/>
          <w:szCs w:val="24"/>
        </w:rPr>
        <w:t>5</w:t>
      </w:r>
      <w:r w:rsidR="00454654">
        <w:rPr>
          <w:rFonts w:ascii="Arial" w:eastAsia="Arial" w:hAnsi="Arial" w:cs="Arial"/>
          <w:sz w:val="24"/>
          <w:szCs w:val="24"/>
        </w:rPr>
        <w:t>)</w:t>
      </w:r>
      <w:r w:rsidRPr="00442AC2">
        <w:rPr>
          <w:rFonts w:ascii="Arial" w:eastAsia="Arial" w:hAnsi="Arial" w:cs="Arial"/>
          <w:sz w:val="24"/>
          <w:szCs w:val="24"/>
        </w:rPr>
        <w:t>.</w:t>
      </w:r>
    </w:p>
    <w:p w14:paraId="046E0704" w14:textId="77777777" w:rsidR="00442AC2" w:rsidRPr="00442AC2" w:rsidRDefault="00442AC2" w:rsidP="00442AC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EE7194" w14:textId="77777777" w:rsidR="0037591E" w:rsidRDefault="0037591E" w:rsidP="00101B56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37591E">
        <w:rPr>
          <w:rFonts w:ascii="Arial" w:hAnsi="Arial" w:cs="Arial"/>
          <w:color w:val="000000"/>
          <w:sz w:val="24"/>
        </w:rPr>
        <w:t>If approved by the City Commission, the total project budget for Bass Park will increase to $637,914.57, and the total project budget for Lauderdale Isles Landing will increase to $2,344,064.52.</w:t>
      </w:r>
    </w:p>
    <w:p w14:paraId="1094C925" w14:textId="77777777" w:rsidR="0037591E" w:rsidRDefault="0037591E" w:rsidP="00101B56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14:paraId="42FF16A2" w14:textId="17ED0EC3" w:rsidR="001416DA" w:rsidRDefault="0037591E" w:rsidP="00101B5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7591E">
        <w:rPr>
          <w:rFonts w:ascii="Arial" w:eastAsia="Arial" w:hAnsi="Arial" w:cs="Arial"/>
          <w:sz w:val="24"/>
          <w:szCs w:val="24"/>
        </w:rPr>
        <w:t xml:space="preserve">Staff recommends the City Commission approve the reallocation of $774,146.88 in Parks General Obligation Bond funds from the North Fork Elementary School project. Of that amount, $474,146.88 would go to Bass Park, including $437,296.88 for construction contingency and $36,850 for additional preconstruction, construction inspection, and special inspection services to support project delivery and reduce construction risk. The remaining $300,000 </w:t>
      </w:r>
      <w:proofErr w:type="gramStart"/>
      <w:r w:rsidRPr="0037591E">
        <w:rPr>
          <w:rFonts w:ascii="Arial" w:eastAsia="Arial" w:hAnsi="Arial" w:cs="Arial"/>
          <w:sz w:val="24"/>
          <w:szCs w:val="24"/>
        </w:rPr>
        <w:t>would</w:t>
      </w:r>
      <w:proofErr w:type="gramEnd"/>
      <w:r w:rsidRPr="0037591E">
        <w:rPr>
          <w:rFonts w:ascii="Arial" w:eastAsia="Arial" w:hAnsi="Arial" w:cs="Arial"/>
          <w:sz w:val="24"/>
          <w:szCs w:val="24"/>
        </w:rPr>
        <w:t xml:space="preserve"> be returned to District 4 to help close the current funding gap for the Lauderdale Isles Landing project.</w:t>
      </w:r>
    </w:p>
    <w:p w14:paraId="467E3D3D" w14:textId="77777777" w:rsidR="0037591E" w:rsidRDefault="0037591E" w:rsidP="00101B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B6FB7" w14:textId="155B7F13" w:rsidR="00422206" w:rsidRDefault="00DE6FAD" w:rsidP="00101B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3C4885A0" w14:textId="4662169C" w:rsidR="00AA2109" w:rsidRDefault="004F5D3B" w:rsidP="00101B5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7D2">
        <w:rPr>
          <w:rFonts w:ascii="Arial" w:hAnsi="Arial" w:cs="Arial"/>
          <w:sz w:val="24"/>
          <w:szCs w:val="24"/>
        </w:rPr>
        <w:t xml:space="preserve">There </w:t>
      </w:r>
      <w:r>
        <w:rPr>
          <w:rFonts w:ascii="Arial" w:hAnsi="Arial" w:cs="Arial"/>
          <w:sz w:val="24"/>
          <w:szCs w:val="24"/>
        </w:rPr>
        <w:t xml:space="preserve">is no fiscal impact to the City </w:t>
      </w:r>
      <w:r w:rsidR="00766F29">
        <w:rPr>
          <w:rFonts w:ascii="Arial" w:hAnsi="Arial" w:cs="Arial"/>
          <w:sz w:val="24"/>
          <w:szCs w:val="24"/>
        </w:rPr>
        <w:t>associated with</w:t>
      </w:r>
      <w:r>
        <w:rPr>
          <w:rFonts w:ascii="Arial" w:hAnsi="Arial" w:cs="Arial"/>
          <w:sz w:val="24"/>
          <w:szCs w:val="24"/>
        </w:rPr>
        <w:t xml:space="preserve"> this action. The transfer of funding from North Fork Elementary School is contingent on approval of the</w:t>
      </w:r>
      <w:r w:rsidRPr="00A077D2">
        <w:rPr>
          <w:rFonts w:ascii="Arial" w:hAnsi="Arial" w:cs="Arial"/>
          <w:sz w:val="24"/>
          <w:szCs w:val="24"/>
        </w:rPr>
        <w:t xml:space="preserve"> Consolidated Budget Amendment</w:t>
      </w:r>
      <w:r w:rsidR="00766F29">
        <w:rPr>
          <w:rFonts w:ascii="Arial" w:hAnsi="Arial" w:cs="Arial"/>
          <w:sz w:val="24"/>
          <w:szCs w:val="24"/>
        </w:rPr>
        <w:t xml:space="preserve"> on </w:t>
      </w:r>
      <w:proofErr w:type="gramStart"/>
      <w:r w:rsidR="00766F29">
        <w:rPr>
          <w:rFonts w:ascii="Arial" w:hAnsi="Arial" w:cs="Arial"/>
          <w:sz w:val="24"/>
          <w:szCs w:val="24"/>
        </w:rPr>
        <w:t>the April</w:t>
      </w:r>
      <w:proofErr w:type="gramEnd"/>
      <w:r w:rsidR="00766F29">
        <w:rPr>
          <w:rFonts w:ascii="Arial" w:hAnsi="Arial" w:cs="Arial"/>
          <w:sz w:val="24"/>
          <w:szCs w:val="24"/>
        </w:rPr>
        <w:t xml:space="preserve"> 7, 2026, City Commission Regular Meeting agenda</w:t>
      </w:r>
      <w:r w:rsidRPr="00A077D2">
        <w:rPr>
          <w:rFonts w:ascii="Arial" w:hAnsi="Arial" w:cs="Arial"/>
          <w:sz w:val="24"/>
          <w:szCs w:val="24"/>
        </w:rPr>
        <w:t xml:space="preserve"> </w:t>
      </w:r>
      <w:r w:rsidR="00766F29">
        <w:rPr>
          <w:rFonts w:ascii="Arial" w:hAnsi="Arial" w:cs="Arial"/>
          <w:sz w:val="24"/>
          <w:szCs w:val="24"/>
        </w:rPr>
        <w:t>(</w:t>
      </w:r>
      <w:r w:rsidRPr="00A077D2">
        <w:rPr>
          <w:rFonts w:ascii="Arial" w:hAnsi="Arial" w:cs="Arial"/>
          <w:sz w:val="24"/>
          <w:szCs w:val="24"/>
        </w:rPr>
        <w:t xml:space="preserve">CAM </w:t>
      </w:r>
      <w:r>
        <w:rPr>
          <w:rFonts w:ascii="Arial" w:hAnsi="Arial" w:cs="Arial"/>
          <w:sz w:val="24"/>
          <w:szCs w:val="24"/>
        </w:rPr>
        <w:t>#</w:t>
      </w:r>
      <w:r w:rsidRPr="1AD720FE">
        <w:rPr>
          <w:rFonts w:ascii="Arial" w:hAnsi="Arial" w:cs="Arial"/>
          <w:sz w:val="24"/>
          <w:szCs w:val="24"/>
        </w:rPr>
        <w:t>26-0062</w:t>
      </w:r>
      <w:r w:rsidR="00766F29">
        <w:rPr>
          <w:rFonts w:ascii="Arial" w:hAnsi="Arial" w:cs="Arial"/>
          <w:sz w:val="24"/>
          <w:szCs w:val="24"/>
        </w:rPr>
        <w:t>).</w:t>
      </w:r>
    </w:p>
    <w:tbl>
      <w:tblPr>
        <w:tblW w:w="5817" w:type="pct"/>
        <w:tblInd w:w="-630" w:type="dxa"/>
        <w:tblLook w:val="04A0" w:firstRow="1" w:lastRow="0" w:firstColumn="1" w:lastColumn="0" w:noHBand="0" w:noVBand="1"/>
      </w:tblPr>
      <w:tblGrid>
        <w:gridCol w:w="1696"/>
        <w:gridCol w:w="1610"/>
        <w:gridCol w:w="1610"/>
        <w:gridCol w:w="1953"/>
        <w:gridCol w:w="100"/>
        <w:gridCol w:w="1930"/>
        <w:gridCol w:w="1818"/>
        <w:gridCol w:w="172"/>
      </w:tblGrid>
      <w:tr w:rsidR="00F05A94" w:rsidRPr="00A66749" w14:paraId="7EB65E79" w14:textId="77777777" w:rsidTr="1C1DAE5C">
        <w:trPr>
          <w:gridAfter w:val="1"/>
          <w:wAfter w:w="79" w:type="pct"/>
          <w:trHeight w:val="315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D4100" w14:textId="77777777" w:rsidR="0037591E" w:rsidRDefault="0037591E" w:rsidP="0013157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6C92103" w14:textId="36F555E7" w:rsidR="00EB3CD6" w:rsidRPr="00A66749" w:rsidRDefault="00F05A94" w:rsidP="0013157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Source: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41CF9" w14:textId="77777777" w:rsidR="00EB3CD6" w:rsidRPr="00A66749" w:rsidRDefault="00EB3CD6" w:rsidP="0013157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84EBA" w14:textId="77777777" w:rsidR="00EB3CD6" w:rsidRPr="00A66749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12058" w14:textId="77777777" w:rsidR="00EB3CD6" w:rsidRPr="00A66749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2A397" w14:textId="77777777" w:rsidR="00EB3CD6" w:rsidRPr="00A66749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AA69B" w14:textId="77777777" w:rsidR="00EB3CD6" w:rsidRPr="00A66749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3CD6" w:rsidRPr="00EB3CD6" w14:paraId="565D6624" w14:textId="77777777" w:rsidTr="1C1DAE5C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5343D1" w14:textId="77DE46D7" w:rsidR="00EB3CD6" w:rsidRPr="00EB3CD6" w:rsidRDefault="00EB3CD6" w:rsidP="0013157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EB3CD6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Funds available as of </w:t>
            </w:r>
            <w:r w:rsidR="00F05A94">
              <w:rPr>
                <w:rFonts w:ascii="Arial" w:eastAsia="Times New Roman" w:hAnsi="Arial" w:cs="Arial"/>
                <w:b/>
                <w:bCs/>
                <w:i/>
                <w:iCs/>
              </w:rPr>
              <w:t>March 3, 2026</w:t>
            </w:r>
          </w:p>
        </w:tc>
      </w:tr>
      <w:tr w:rsidR="00F05A94" w:rsidRPr="00EB3CD6" w14:paraId="0F925ADD" w14:textId="77777777" w:rsidTr="1C1DAE5C">
        <w:trPr>
          <w:trHeight w:val="945"/>
        </w:trPr>
        <w:tc>
          <w:tcPr>
            <w:tcW w:w="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45C47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ACCOUNT</w:t>
            </w:r>
            <w:r w:rsidRPr="00EB3CD6">
              <w:rPr>
                <w:rFonts w:ascii="Arial" w:eastAsia="Times New Roman" w:hAnsi="Arial" w:cs="Arial"/>
                <w:b/>
                <w:bCs/>
              </w:rPr>
              <w:br/>
              <w:t>NUMBER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4EA89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COST CENTER NAME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63BF9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CHARACTER CODE/ ACCOUNT NAME</w:t>
            </w:r>
          </w:p>
        </w:tc>
        <w:tc>
          <w:tcPr>
            <w:tcW w:w="9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78DC1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 xml:space="preserve">AMENDED BUDGET </w:t>
            </w:r>
            <w:r w:rsidRPr="00EB3CD6">
              <w:rPr>
                <w:rFonts w:ascii="Arial" w:eastAsia="Times New Roman" w:hAnsi="Arial" w:cs="Arial"/>
                <w:b/>
                <w:bCs/>
              </w:rPr>
              <w:br/>
              <w:t>(Character)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61E33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AVAILABLE BALANCE (Character)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15263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F05A94" w:rsidRPr="00EB3CD6" w14:paraId="5BB73DEA" w14:textId="77777777" w:rsidTr="1C1DAE5C">
        <w:trPr>
          <w:trHeight w:val="60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AEA" w14:textId="25508B43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10-353-6999-572-60-6599-P</w:t>
            </w:r>
            <w:r w:rsidR="00F05A94" w:rsidRPr="00EB3CD6">
              <w:rPr>
                <w:rFonts w:ascii="Arial" w:eastAsia="Times New Roman" w:hAnsi="Arial" w:cs="Arial"/>
              </w:rPr>
              <w:t>12</w:t>
            </w:r>
            <w:r w:rsidR="00F05A94">
              <w:rPr>
                <w:rFonts w:ascii="Arial" w:eastAsia="Times New Roman" w:hAnsi="Arial" w:cs="Arial"/>
              </w:rPr>
              <w:t>776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70C6" w14:textId="1DFB4536" w:rsidR="00EB3CD6" w:rsidRPr="00EB3CD6" w:rsidRDefault="00F05A94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North Fork School Park Improvements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28E1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Capital Outlay / Construction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2E7C" w14:textId="0FBAEDBB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$</w:t>
            </w:r>
            <w:r w:rsidR="00F05A94">
              <w:rPr>
                <w:rFonts w:ascii="Arial" w:eastAsia="Times New Roman" w:hAnsi="Arial" w:cs="Arial"/>
              </w:rPr>
              <w:t>785,</w:t>
            </w:r>
            <w:r w:rsidRPr="00EB3CD6">
              <w:rPr>
                <w:rFonts w:ascii="Arial" w:eastAsia="Times New Roman" w:hAnsi="Arial" w:cs="Arial"/>
              </w:rPr>
              <w:t>000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105C" w14:textId="113ECA65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$</w:t>
            </w:r>
            <w:r w:rsidR="00F05A94">
              <w:rPr>
                <w:rFonts w:ascii="Arial" w:eastAsia="Times New Roman" w:hAnsi="Arial" w:cs="Arial"/>
              </w:rPr>
              <w:t>774,14</w:t>
            </w:r>
            <w:r w:rsidR="004450C1">
              <w:rPr>
                <w:rFonts w:ascii="Arial" w:eastAsia="Times New Roman" w:hAnsi="Arial" w:cs="Arial"/>
              </w:rPr>
              <w:t>6.88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4D93" w14:textId="77777777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14:paraId="41BAA4CF" w14:textId="386ED9F5" w:rsidR="00F05A94" w:rsidRPr="00EB3CD6" w:rsidRDefault="00EB3CD6" w:rsidP="00F05A94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$</w:t>
            </w:r>
            <w:r w:rsidR="00F05A94">
              <w:rPr>
                <w:rFonts w:ascii="Arial" w:eastAsia="Times New Roman" w:hAnsi="Arial" w:cs="Arial"/>
              </w:rPr>
              <w:t>774,14</w:t>
            </w:r>
            <w:r w:rsidR="004450C1">
              <w:rPr>
                <w:rFonts w:ascii="Arial" w:eastAsia="Times New Roman" w:hAnsi="Arial" w:cs="Arial"/>
              </w:rPr>
              <w:t>6.88</w:t>
            </w:r>
          </w:p>
          <w:p w14:paraId="4CAE747A" w14:textId="77777777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F05A94" w:rsidRPr="00EB3CD6" w14:paraId="22A9750B" w14:textId="77777777" w:rsidTr="1C1DAE5C">
        <w:trPr>
          <w:trHeight w:val="315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32CB" w14:textId="77777777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6817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2C19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B28ABC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 xml:space="preserve">TOTAL AMOUNT </w:t>
            </w:r>
            <w:r w:rsidRPr="00EB3CD6">
              <w:rPr>
                <w:rFonts w:eastAsia="Times New Roman"/>
                <w:b/>
                <w:bCs/>
              </w:rPr>
              <w:t>→</w:t>
            </w:r>
          </w:p>
        </w:tc>
        <w:tc>
          <w:tcPr>
            <w:tcW w:w="9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04FE" w14:textId="60A9E539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$</w:t>
            </w:r>
            <w:r w:rsidR="00F05A94">
              <w:rPr>
                <w:rFonts w:ascii="Arial" w:eastAsia="Times New Roman" w:hAnsi="Arial" w:cs="Arial"/>
                <w:b/>
                <w:bCs/>
              </w:rPr>
              <w:t>774,14</w:t>
            </w:r>
            <w:r w:rsidR="004450C1">
              <w:rPr>
                <w:rFonts w:ascii="Arial" w:eastAsia="Times New Roman" w:hAnsi="Arial" w:cs="Arial"/>
                <w:b/>
                <w:bCs/>
              </w:rPr>
              <w:t>6.88</w:t>
            </w:r>
          </w:p>
        </w:tc>
      </w:tr>
      <w:tr w:rsidR="00F05A94" w:rsidRPr="00EB3CD6" w14:paraId="621C8B41" w14:textId="77777777" w:rsidTr="1C1DAE5C">
        <w:trPr>
          <w:trHeight w:val="315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E8A2" w14:textId="77777777" w:rsidR="00EB3CD6" w:rsidRPr="00EB3CD6" w:rsidRDefault="00EB3CD6" w:rsidP="00F32636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6D30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9837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3E4A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5B39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7857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5A94" w:rsidRPr="00EB3CD6" w14:paraId="094CE268" w14:textId="77777777" w:rsidTr="1C1DAE5C">
        <w:trPr>
          <w:trHeight w:val="319"/>
        </w:trPr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1ACB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Use: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EA50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CF9C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779F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1ACE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170B" w14:textId="77777777" w:rsidR="00EB3CD6" w:rsidRPr="00EB3CD6" w:rsidRDefault="00EB3CD6" w:rsidP="0013157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5A94" w:rsidRPr="00EB3CD6" w14:paraId="22F56432" w14:textId="77777777" w:rsidTr="1C1DAE5C">
        <w:trPr>
          <w:trHeight w:val="945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6685A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ACCOUNT</w:t>
            </w:r>
            <w:r w:rsidRPr="00EB3CD6">
              <w:rPr>
                <w:rFonts w:ascii="Arial" w:eastAsia="Times New Roman" w:hAnsi="Arial" w:cs="Arial"/>
                <w:b/>
                <w:bCs/>
              </w:rPr>
              <w:br/>
              <w:t>NUMBER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E23DA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COST CENTER NAME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25642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CHARACTER CODE/ ACCOUNT NAME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5409AE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 xml:space="preserve">AMENDED BUDGET </w:t>
            </w:r>
            <w:r w:rsidRPr="00EB3CD6">
              <w:rPr>
                <w:rFonts w:ascii="Arial" w:eastAsia="Times New Roman" w:hAnsi="Arial" w:cs="Arial"/>
                <w:b/>
                <w:bCs/>
              </w:rPr>
              <w:br/>
              <w:t>(Character)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41AAD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AVAILABLE BALANCE (Character)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016BE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>AMOUNT</w:t>
            </w:r>
          </w:p>
        </w:tc>
      </w:tr>
      <w:tr w:rsidR="00F05A94" w:rsidRPr="00EB3CD6" w14:paraId="670814E8" w14:textId="77777777" w:rsidTr="1C1DAE5C">
        <w:trPr>
          <w:trHeight w:val="60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9E97" w14:textId="70CB93F8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10-353-6999-572-60-6599-P12</w:t>
            </w:r>
            <w:r w:rsidR="00C920D3">
              <w:rPr>
                <w:rFonts w:ascii="Arial" w:eastAsia="Times New Roman" w:hAnsi="Arial" w:cs="Arial"/>
              </w:rPr>
              <w:t>644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B30" w14:textId="4CF8903F" w:rsidR="00EB3CD6" w:rsidRPr="00EB3CD6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Bass Park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4C3C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Capital Outlay / Construction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4B53" w14:textId="2420D2F3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 xml:space="preserve"> $</w:t>
            </w:r>
            <w:r w:rsidR="00C920D3">
              <w:rPr>
                <w:rFonts w:ascii="Arial" w:eastAsia="Times New Roman" w:hAnsi="Arial" w:cs="Arial"/>
              </w:rPr>
              <w:t>7,240,000</w:t>
            </w:r>
            <w:r w:rsidRPr="00EB3CD6">
              <w:rPr>
                <w:rFonts w:ascii="Arial" w:eastAsia="Times New Roman" w:hAnsi="Arial" w:cs="Arial"/>
              </w:rPr>
              <w:t xml:space="preserve">         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B76" w14:textId="1A497924" w:rsidR="00EB3CD6" w:rsidRPr="00EB3CD6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$163,76</w:t>
            </w:r>
            <w:r w:rsidR="004450C1">
              <w:rPr>
                <w:rFonts w:ascii="Arial" w:eastAsia="Times New Roman" w:hAnsi="Arial" w:cs="Arial"/>
              </w:rPr>
              <w:t>7.69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3125" w14:textId="0FB90AC9" w:rsidR="00EB3CD6" w:rsidRPr="00EB3CD6" w:rsidRDefault="00EB3CD6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 xml:space="preserve"> </w:t>
            </w:r>
            <w:r w:rsidR="00C920D3">
              <w:rPr>
                <w:rFonts w:ascii="Arial" w:eastAsia="Times New Roman" w:hAnsi="Arial" w:cs="Arial"/>
              </w:rPr>
              <w:t>$474,14</w:t>
            </w:r>
            <w:r w:rsidR="004450C1">
              <w:rPr>
                <w:rFonts w:ascii="Arial" w:eastAsia="Times New Roman" w:hAnsi="Arial" w:cs="Arial"/>
              </w:rPr>
              <w:t>6.88</w:t>
            </w:r>
          </w:p>
        </w:tc>
      </w:tr>
      <w:tr w:rsidR="00F05A94" w:rsidRPr="00EB3CD6" w14:paraId="3CA840C3" w14:textId="77777777" w:rsidTr="1C1DAE5C">
        <w:trPr>
          <w:trHeight w:val="60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E6F" w14:textId="5229DD6A" w:rsidR="00F05A94" w:rsidRPr="00DC1D35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1D35">
              <w:rPr>
                <w:rFonts w:ascii="Arial" w:eastAsia="Times New Roman" w:hAnsi="Arial" w:cs="Arial"/>
              </w:rPr>
              <w:lastRenderedPageBreak/>
              <w:t>10-353-6999-572-60-6599-P12907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9AF9" w14:textId="2FF9DF45" w:rsidR="00F05A94" w:rsidRPr="00DC1D35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1D35">
              <w:rPr>
                <w:rFonts w:ascii="Arial" w:eastAsia="Times New Roman" w:hAnsi="Arial" w:cs="Arial"/>
              </w:rPr>
              <w:t>Lauderdale Isles Landing (formerly Riverland Woods)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0358" w14:textId="2E173FC1" w:rsidR="00F05A94" w:rsidRPr="00DC1D35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1D35">
              <w:rPr>
                <w:rFonts w:ascii="Arial" w:eastAsia="Times New Roman" w:hAnsi="Arial" w:cs="Arial"/>
              </w:rPr>
              <w:t>Capital Outlay / Construction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2C59" w14:textId="3BE34E2B" w:rsidR="00F05A94" w:rsidRPr="00DC1D35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1D35">
              <w:rPr>
                <w:rFonts w:ascii="Arial" w:eastAsia="Times New Roman" w:hAnsi="Arial" w:cs="Arial"/>
              </w:rPr>
              <w:t xml:space="preserve">$2,362,500  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2308" w14:textId="14E59F56" w:rsidR="00F05A94" w:rsidRPr="00DC1D35" w:rsidRDefault="00C920D3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1D35">
              <w:rPr>
                <w:rFonts w:ascii="Arial" w:eastAsia="Times New Roman" w:hAnsi="Arial" w:cs="Arial"/>
              </w:rPr>
              <w:t>$2,044,06</w:t>
            </w:r>
            <w:r w:rsidR="004450C1" w:rsidRPr="00DC1D35">
              <w:rPr>
                <w:rFonts w:ascii="Arial" w:eastAsia="Times New Roman" w:hAnsi="Arial" w:cs="Arial"/>
              </w:rPr>
              <w:t>4.52</w:t>
            </w:r>
            <w:r w:rsidRPr="00DC1D35">
              <w:rPr>
                <w:rFonts w:ascii="Arial" w:eastAsia="Times New Roman" w:hAnsi="Arial" w:cs="Arial"/>
              </w:rPr>
              <w:t xml:space="preserve">   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B570" w14:textId="08984300" w:rsidR="00F05A94" w:rsidRPr="00EB3CD6" w:rsidRDefault="00C920D3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DC1D35">
              <w:rPr>
                <w:rFonts w:ascii="Arial" w:eastAsia="Times New Roman" w:hAnsi="Arial" w:cs="Arial"/>
              </w:rPr>
              <w:t>$300,000</w:t>
            </w:r>
            <w:r w:rsidR="004450C1" w:rsidRPr="00DC1D35">
              <w:rPr>
                <w:rFonts w:ascii="Arial" w:eastAsia="Times New Roman" w:hAnsi="Arial" w:cs="Arial"/>
              </w:rPr>
              <w:t>.00</w:t>
            </w:r>
            <w:r w:rsidRPr="00EB3CD6">
              <w:rPr>
                <w:rFonts w:ascii="Arial" w:eastAsia="Times New Roman" w:hAnsi="Arial" w:cs="Arial"/>
              </w:rPr>
              <w:t xml:space="preserve">   </w:t>
            </w:r>
          </w:p>
        </w:tc>
      </w:tr>
      <w:tr w:rsidR="00F05A94" w:rsidRPr="00A66749" w14:paraId="6C1C34BA" w14:textId="77777777" w:rsidTr="1C1DAE5C">
        <w:trPr>
          <w:trHeight w:val="315"/>
        </w:trPr>
        <w:tc>
          <w:tcPr>
            <w:tcW w:w="779" w:type="pct"/>
            <w:tcBorders>
              <w:top w:val="single" w:sz="4" w:space="0" w:color="auto"/>
            </w:tcBorders>
            <w:vAlign w:val="bottom"/>
            <w:hideMark/>
          </w:tcPr>
          <w:p w14:paraId="3C16F886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</w:tcBorders>
            <w:vAlign w:val="bottom"/>
            <w:hideMark/>
          </w:tcPr>
          <w:p w14:paraId="58490A44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39" w:type="pct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14:paraId="051BA787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B3CD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F68AD6" w14:textId="77777777" w:rsidR="00EB3CD6" w:rsidRPr="00EB3CD6" w:rsidRDefault="00EB3CD6" w:rsidP="0013157A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B3CD6">
              <w:rPr>
                <w:rFonts w:ascii="Arial" w:eastAsia="Times New Roman" w:hAnsi="Arial" w:cs="Arial"/>
                <w:b/>
                <w:bCs/>
              </w:rPr>
              <w:t xml:space="preserve">TOTAL AMOUNT </w:t>
            </w:r>
            <w:r w:rsidRPr="00EB3CD6">
              <w:rPr>
                <w:rFonts w:eastAsia="Times New Roman"/>
                <w:b/>
                <w:bCs/>
              </w:rPr>
              <w:t>→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EE56" w14:textId="251060E6" w:rsidR="00EB3CD6" w:rsidRPr="00A66749" w:rsidRDefault="004D6722" w:rsidP="0013157A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1C1DAE5C">
              <w:rPr>
                <w:rFonts w:ascii="Arial" w:eastAsia="Times New Roman" w:hAnsi="Arial" w:cs="Arial"/>
                <w:b/>
                <w:bCs/>
              </w:rPr>
              <w:t xml:space="preserve"> $ </w:t>
            </w:r>
            <w:r w:rsidR="1043E58B" w:rsidRPr="1C1DAE5C">
              <w:rPr>
                <w:rFonts w:ascii="Arial" w:eastAsia="Times New Roman" w:hAnsi="Arial" w:cs="Arial"/>
                <w:b/>
                <w:bCs/>
              </w:rPr>
              <w:t>774,146.88</w:t>
            </w:r>
            <w:r w:rsidRPr="1C1DAE5C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</w:tbl>
    <w:p w14:paraId="07A84BF8" w14:textId="04D6F780" w:rsidR="007F18DA" w:rsidRDefault="00382D8A" w:rsidP="007F18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43DEB78A" w14:textId="5DF2C1C1" w:rsidR="00382D8A" w:rsidRPr="007F18DA" w:rsidRDefault="000C38CB" w:rsidP="007F18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</w:t>
      </w:r>
      <w:r w:rsidR="00382D8A" w:rsidRPr="00A04E51">
        <w:rPr>
          <w:rFonts w:ascii="Arial" w:hAnsi="Arial" w:cs="Arial"/>
          <w:sz w:val="24"/>
          <w:szCs w:val="24"/>
        </w:rPr>
        <w:t xml:space="preserve">his item is a </w:t>
      </w:r>
      <w:r w:rsidR="00A04E51" w:rsidRPr="00A04E51">
        <w:rPr>
          <w:rFonts w:ascii="Arial" w:hAnsi="Arial" w:cs="Arial"/>
          <w:sz w:val="24"/>
          <w:szCs w:val="24"/>
        </w:rPr>
        <w:t>FY 202</w:t>
      </w:r>
      <w:r w:rsidR="00012A84">
        <w:rPr>
          <w:rFonts w:ascii="Arial" w:hAnsi="Arial" w:cs="Arial"/>
          <w:sz w:val="24"/>
          <w:szCs w:val="24"/>
        </w:rPr>
        <w:t>6</w:t>
      </w:r>
      <w:r w:rsidR="00382D8A" w:rsidRPr="00A04E51">
        <w:rPr>
          <w:rFonts w:ascii="Arial" w:hAnsi="Arial" w:cs="Arial"/>
          <w:sz w:val="24"/>
          <w:szCs w:val="24"/>
        </w:rPr>
        <w:t xml:space="preserve"> Commission Priority advancing the </w:t>
      </w:r>
      <w:r w:rsidR="00522726">
        <w:rPr>
          <w:rFonts w:ascii="Arial" w:hAnsi="Arial" w:cs="Arial"/>
          <w:sz w:val="24"/>
          <w:szCs w:val="24"/>
        </w:rPr>
        <w:t>Public Spaces and C</w:t>
      </w:r>
      <w:r w:rsidR="00AE7F15">
        <w:rPr>
          <w:rFonts w:ascii="Arial" w:hAnsi="Arial" w:cs="Arial"/>
          <w:sz w:val="24"/>
          <w:szCs w:val="24"/>
        </w:rPr>
        <w:t xml:space="preserve">ultural </w:t>
      </w:r>
      <w:r w:rsidR="00522726">
        <w:rPr>
          <w:rFonts w:ascii="Arial" w:hAnsi="Arial" w:cs="Arial"/>
          <w:sz w:val="24"/>
          <w:szCs w:val="24"/>
        </w:rPr>
        <w:t xml:space="preserve"> Initiative</w:t>
      </w:r>
      <w:r w:rsidR="00AF670D">
        <w:rPr>
          <w:rFonts w:ascii="Arial" w:hAnsi="Arial" w:cs="Arial"/>
          <w:sz w:val="24"/>
          <w:szCs w:val="24"/>
        </w:rPr>
        <w:t>s</w:t>
      </w:r>
      <w:r w:rsidR="00382D8A" w:rsidRPr="00A04E51">
        <w:rPr>
          <w:rFonts w:ascii="Arial" w:hAnsi="Arial" w:cs="Arial"/>
          <w:sz w:val="24"/>
          <w:szCs w:val="24"/>
        </w:rPr>
        <w:t>.</w:t>
      </w:r>
    </w:p>
    <w:p w14:paraId="52340A9D" w14:textId="77777777" w:rsidR="00382D8A" w:rsidRPr="009C2369" w:rsidRDefault="00382D8A" w:rsidP="00AF19AE">
      <w:pPr>
        <w:pStyle w:val="BodyText"/>
        <w:spacing w:before="6"/>
        <w:jc w:val="both"/>
        <w:rPr>
          <w:rFonts w:ascii="Arial" w:hAnsi="Arial" w:cs="Arial"/>
          <w:sz w:val="24"/>
          <w:szCs w:val="24"/>
        </w:rPr>
      </w:pPr>
    </w:p>
    <w:p w14:paraId="52C022A4" w14:textId="77777777" w:rsidR="00794316" w:rsidRDefault="00794316" w:rsidP="007943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 item supports the 2029 Strategic Plan, specifically advancing:</w:t>
      </w:r>
    </w:p>
    <w:p w14:paraId="2FFDBDAE" w14:textId="77777777" w:rsidR="00794316" w:rsidRPr="009759E5" w:rsidRDefault="00794316" w:rsidP="0079431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Public Places Focus Area, </w:t>
      </w:r>
      <w:r w:rsidRPr="009759E5">
        <w:rPr>
          <w:rFonts w:ascii="Arial" w:hAnsi="Arial" w:cs="Arial"/>
          <w:bCs/>
          <w:sz w:val="24"/>
          <w:szCs w:val="24"/>
        </w:rPr>
        <w:t xml:space="preserve">Goal </w:t>
      </w:r>
      <w:r>
        <w:rPr>
          <w:rFonts w:ascii="Arial" w:hAnsi="Arial" w:cs="Arial"/>
          <w:bCs/>
          <w:sz w:val="24"/>
          <w:szCs w:val="24"/>
        </w:rPr>
        <w:t>5</w:t>
      </w:r>
      <w:r w:rsidRPr="009759E5">
        <w:rPr>
          <w:rFonts w:ascii="Arial" w:hAnsi="Arial" w:cs="Arial"/>
          <w:bCs/>
          <w:sz w:val="24"/>
          <w:szCs w:val="24"/>
        </w:rPr>
        <w:t>: Build</w:t>
      </w:r>
      <w:r>
        <w:rPr>
          <w:rFonts w:ascii="Arial" w:hAnsi="Arial" w:cs="Arial"/>
          <w:bCs/>
          <w:sz w:val="24"/>
          <w:szCs w:val="24"/>
        </w:rPr>
        <w:t xml:space="preserve"> a beautiful and welcoming community.</w:t>
      </w:r>
    </w:p>
    <w:p w14:paraId="3462765B" w14:textId="77777777" w:rsidR="00794316" w:rsidRDefault="00794316" w:rsidP="007943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63591A" w14:textId="77777777" w:rsidR="00794316" w:rsidRPr="00E37B7F" w:rsidRDefault="00794316" w:rsidP="007943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item advances the Fast Forward Fort Lauderdale 2035 Vision Plan: We are Here </w:t>
      </w:r>
    </w:p>
    <w:p w14:paraId="3E5DFE55" w14:textId="77777777" w:rsidR="00794316" w:rsidRPr="00252D08" w:rsidRDefault="00794316" w:rsidP="00794316">
      <w:pPr>
        <w:pStyle w:val="ListParagraph"/>
        <w:tabs>
          <w:tab w:val="left" w:pos="1661"/>
        </w:tabs>
        <w:autoSpaceDE w:val="0"/>
        <w:autoSpaceDN w:val="0"/>
        <w:spacing w:before="39" w:after="0" w:line="240" w:lineRule="auto"/>
        <w:ind w:right="90"/>
        <w:rPr>
          <w:rFonts w:ascii="Arial" w:hAnsi="Arial" w:cs="Arial"/>
          <w:i/>
          <w:sz w:val="24"/>
          <w:szCs w:val="24"/>
        </w:rPr>
      </w:pP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  <w:r w:rsidRPr="003028E8">
        <w:rPr>
          <w:rFonts w:ascii="Arial" w:hAnsi="Arial" w:cs="Arial"/>
          <w:i/>
          <w:sz w:val="24"/>
          <w:szCs w:val="24"/>
        </w:rPr>
        <w:tab/>
      </w:r>
    </w:p>
    <w:p w14:paraId="36F2CC16" w14:textId="77777777" w:rsidR="00794316" w:rsidRDefault="00794316" w:rsidP="0079431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 item supports the Advance Fort Lauderdale 2040 Comprehensive Place specifically advancing:</w:t>
      </w:r>
    </w:p>
    <w:p w14:paraId="1B8C2D3A" w14:textId="77777777" w:rsidR="00794316" w:rsidRDefault="00794316" w:rsidP="007943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Public Places Focus Area</w:t>
      </w:r>
    </w:p>
    <w:p w14:paraId="6BAFDD9D" w14:textId="77777777" w:rsidR="00794316" w:rsidRDefault="00794316" w:rsidP="007943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Parks, Recreation &amp; Open Spaces Area</w:t>
      </w:r>
    </w:p>
    <w:p w14:paraId="54D5BE2E" w14:textId="77777777" w:rsidR="00794316" w:rsidRDefault="00794316" w:rsidP="0079431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Goal 2: Be a community with high quality parks and recreational facilities that highlight the character of our city.</w:t>
      </w:r>
    </w:p>
    <w:p w14:paraId="2A48D223" w14:textId="77777777" w:rsidR="00E52CAD" w:rsidRPr="002E26B5" w:rsidRDefault="00E52CAD" w:rsidP="00AF19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B24D59" w14:textId="26B6112D" w:rsidR="00E52CAD" w:rsidRPr="002E26B5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204F12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4C0F0C" w14:textId="3E5D60FA" w:rsidR="00A3550B" w:rsidRPr="00A07079" w:rsidRDefault="02FC353D" w:rsidP="1AD7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AD720FE">
        <w:rPr>
          <w:rFonts w:ascii="Arial" w:hAnsi="Arial" w:cs="Arial"/>
          <w:sz w:val="24"/>
          <w:szCs w:val="24"/>
        </w:rPr>
        <w:t xml:space="preserve">Exhibit 1 </w:t>
      </w:r>
      <w:r w:rsidR="3A9BD1C5" w:rsidRPr="1AD720FE">
        <w:rPr>
          <w:rFonts w:ascii="Arial" w:hAnsi="Arial" w:cs="Arial"/>
          <w:sz w:val="24"/>
          <w:szCs w:val="24"/>
        </w:rPr>
        <w:t>–</w:t>
      </w:r>
      <w:r w:rsidRPr="1AD720FE">
        <w:rPr>
          <w:rFonts w:ascii="Arial" w:hAnsi="Arial" w:cs="Arial"/>
          <w:sz w:val="24"/>
          <w:szCs w:val="24"/>
        </w:rPr>
        <w:t xml:space="preserve"> </w:t>
      </w:r>
      <w:r w:rsidR="7C8DBA8F" w:rsidRPr="1AD720FE">
        <w:rPr>
          <w:rFonts w:ascii="Arial" w:eastAsia="Arial" w:hAnsi="Arial" w:cs="Arial"/>
          <w:sz w:val="24"/>
          <w:szCs w:val="24"/>
        </w:rPr>
        <w:t>Resolution</w:t>
      </w:r>
      <w:r w:rsidR="41EE7275" w:rsidRPr="1AD720FE">
        <w:rPr>
          <w:rFonts w:ascii="Arial" w:hAnsi="Arial" w:cs="Arial"/>
          <w:sz w:val="24"/>
          <w:szCs w:val="24"/>
        </w:rPr>
        <w:t xml:space="preserve"> 18-261</w:t>
      </w:r>
    </w:p>
    <w:p w14:paraId="5DF5DE51" w14:textId="7F6581F0" w:rsidR="009B4528" w:rsidRDefault="009B4528" w:rsidP="009B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7C30">
        <w:rPr>
          <w:rFonts w:ascii="Arial" w:hAnsi="Arial" w:cs="Arial"/>
          <w:sz w:val="24"/>
          <w:szCs w:val="24"/>
        </w:rPr>
        <w:t xml:space="preserve">Exhibit </w:t>
      </w:r>
      <w:r>
        <w:rPr>
          <w:rFonts w:ascii="Arial" w:hAnsi="Arial" w:cs="Arial"/>
          <w:sz w:val="24"/>
          <w:szCs w:val="24"/>
        </w:rPr>
        <w:t>2</w:t>
      </w:r>
      <w:r w:rsidRPr="009D7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9D7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Resolution 2</w:t>
      </w:r>
      <w:r w:rsidR="00917A5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917A5D">
        <w:rPr>
          <w:rFonts w:ascii="Arial" w:hAnsi="Arial" w:cs="Arial"/>
          <w:sz w:val="24"/>
          <w:szCs w:val="24"/>
        </w:rPr>
        <w:t>97</w:t>
      </w:r>
    </w:p>
    <w:p w14:paraId="4A705CD8" w14:textId="647D81A4" w:rsidR="00B004E6" w:rsidRDefault="00B004E6" w:rsidP="009B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3 – Commission Agenda Memo 22-0888</w:t>
      </w:r>
    </w:p>
    <w:p w14:paraId="5930FCEA" w14:textId="47C11552" w:rsidR="00B004E6" w:rsidRDefault="00B004E6" w:rsidP="009B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4 – Additional Funds Allocation Spreadsheet</w:t>
      </w:r>
    </w:p>
    <w:p w14:paraId="5FBA2AEB" w14:textId="77777777" w:rsidR="00054163" w:rsidRDefault="5DF5709B" w:rsidP="009B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AD720FE">
        <w:rPr>
          <w:rFonts w:ascii="Arial" w:hAnsi="Arial" w:cs="Arial"/>
          <w:sz w:val="24"/>
          <w:szCs w:val="24"/>
        </w:rPr>
        <w:t xml:space="preserve">Exhibit </w:t>
      </w:r>
      <w:r w:rsidR="00B004E6">
        <w:rPr>
          <w:rFonts w:ascii="Arial" w:hAnsi="Arial" w:cs="Arial"/>
          <w:sz w:val="24"/>
          <w:szCs w:val="24"/>
        </w:rPr>
        <w:t>5</w:t>
      </w:r>
      <w:r w:rsidRPr="1AD720FE">
        <w:rPr>
          <w:rFonts w:ascii="Arial" w:hAnsi="Arial" w:cs="Arial"/>
          <w:sz w:val="24"/>
          <w:szCs w:val="24"/>
        </w:rPr>
        <w:t xml:space="preserve"> – February 26, 2026, Parks, Recreation and Beaches Advisory Board </w:t>
      </w:r>
      <w:r w:rsidR="00054163">
        <w:rPr>
          <w:rFonts w:ascii="Arial" w:hAnsi="Arial" w:cs="Arial"/>
          <w:sz w:val="24"/>
          <w:szCs w:val="24"/>
        </w:rPr>
        <w:t xml:space="preserve">Draft  </w:t>
      </w:r>
    </w:p>
    <w:p w14:paraId="3D20E723" w14:textId="353E373B" w:rsidR="00454654" w:rsidRDefault="00054163" w:rsidP="009B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5DF5709B" w:rsidRPr="1AD720FE">
        <w:rPr>
          <w:rFonts w:ascii="Arial" w:hAnsi="Arial" w:cs="Arial"/>
          <w:sz w:val="24"/>
          <w:szCs w:val="24"/>
        </w:rPr>
        <w:t>Minutes</w:t>
      </w:r>
    </w:p>
    <w:p w14:paraId="3E22247A" w14:textId="72BF5C9E" w:rsidR="008F3816" w:rsidRPr="00A07079" w:rsidRDefault="008F3816" w:rsidP="009B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Exhibit 6 </w:t>
      </w:r>
      <w:r w:rsidR="00AE7F15" w:rsidRPr="1AD720F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Resolution</w:t>
      </w:r>
    </w:p>
    <w:p w14:paraId="52556EFD" w14:textId="77777777" w:rsidR="00E52CAD" w:rsidRPr="00960269" w:rsidRDefault="00E52CAD" w:rsidP="00A3550B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8FD147" w14:textId="63BEC132" w:rsidR="00E52CAD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OLE_LINK1"/>
      <w:r w:rsidRPr="00960269">
        <w:rPr>
          <w:rFonts w:ascii="Arial" w:hAnsi="Arial" w:cs="Arial"/>
          <w:bCs/>
          <w:sz w:val="24"/>
          <w:szCs w:val="24"/>
        </w:rPr>
        <w:t>Prepared by:</w:t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 w:rsidR="00651415">
        <w:rPr>
          <w:rFonts w:ascii="Arial" w:hAnsi="Arial" w:cs="Arial"/>
          <w:bCs/>
          <w:sz w:val="24"/>
          <w:szCs w:val="24"/>
        </w:rPr>
        <w:tab/>
      </w:r>
      <w:r w:rsidR="003856D7">
        <w:rPr>
          <w:rFonts w:ascii="Arial" w:hAnsi="Arial" w:cs="Arial"/>
          <w:bCs/>
          <w:sz w:val="24"/>
          <w:szCs w:val="24"/>
        </w:rPr>
        <w:t>Marc Isaac, Senior Project Manager</w:t>
      </w:r>
      <w:r w:rsidR="00204F12">
        <w:rPr>
          <w:rFonts w:ascii="Arial" w:hAnsi="Arial" w:cs="Arial"/>
          <w:bCs/>
          <w:sz w:val="24"/>
          <w:szCs w:val="24"/>
        </w:rPr>
        <w:t xml:space="preserve"> </w:t>
      </w:r>
    </w:p>
    <w:p w14:paraId="525C63D0" w14:textId="77777777" w:rsidR="00E52CAD" w:rsidRPr="00960269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0E118D09" w14:textId="2C0A9A7C" w:rsidR="00422206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</w:t>
      </w:r>
      <w:bookmarkEnd w:id="2"/>
      <w:r w:rsidR="00AC2251">
        <w:rPr>
          <w:rFonts w:ascii="Arial" w:hAnsi="Arial" w:cs="Arial"/>
          <w:bCs/>
          <w:sz w:val="24"/>
          <w:szCs w:val="24"/>
        </w:rPr>
        <w:t>:</w:t>
      </w:r>
      <w:r w:rsidR="00AC2251">
        <w:rPr>
          <w:rFonts w:ascii="Arial" w:hAnsi="Arial" w:cs="Arial"/>
          <w:bCs/>
          <w:sz w:val="24"/>
          <w:szCs w:val="24"/>
        </w:rPr>
        <w:tab/>
      </w:r>
      <w:r w:rsidR="00334F4E">
        <w:rPr>
          <w:rFonts w:ascii="Arial" w:hAnsi="Arial" w:cs="Arial"/>
          <w:bCs/>
          <w:sz w:val="24"/>
          <w:szCs w:val="24"/>
        </w:rPr>
        <w:t>Colette Satchell</w:t>
      </w:r>
      <w:r w:rsidR="00AC2251">
        <w:rPr>
          <w:rFonts w:ascii="Arial" w:hAnsi="Arial" w:cs="Arial"/>
          <w:bCs/>
          <w:sz w:val="24"/>
          <w:szCs w:val="24"/>
        </w:rPr>
        <w:t xml:space="preserve">, </w:t>
      </w:r>
      <w:r w:rsidR="000C2289">
        <w:rPr>
          <w:rFonts w:ascii="Arial" w:hAnsi="Arial" w:cs="Arial"/>
          <w:bCs/>
          <w:sz w:val="24"/>
          <w:szCs w:val="24"/>
        </w:rPr>
        <w:t>Capital Projects</w:t>
      </w:r>
    </w:p>
    <w:p w14:paraId="434DC0DC" w14:textId="7E181436" w:rsidR="00AC2251" w:rsidRDefault="00AC2251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sectPr w:rsidR="00AC2251" w:rsidSect="00223D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4F0D" w14:textId="77777777" w:rsidR="00FC1F6B" w:rsidRDefault="00FC1F6B" w:rsidP="0088408D">
      <w:pPr>
        <w:spacing w:after="0" w:line="240" w:lineRule="auto"/>
      </w:pPr>
      <w:r>
        <w:separator/>
      </w:r>
    </w:p>
  </w:endnote>
  <w:endnote w:type="continuationSeparator" w:id="0">
    <w:p w14:paraId="7742EB8D" w14:textId="77777777" w:rsidR="00FC1F6B" w:rsidRDefault="00FC1F6B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6827DBF" w14:textId="6D6E6B76" w:rsidR="001D40BA" w:rsidRPr="00636B0D" w:rsidRDefault="00F4577E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DF6B6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</w:t>
            </w:r>
            <w:r w:rsidR="00DF6B6D">
              <w:rPr>
                <w:rFonts w:ascii="Arial" w:hAnsi="Arial" w:cs="Arial"/>
              </w:rPr>
              <w:t>7</w:t>
            </w:r>
            <w:r w:rsidR="00124B00">
              <w:rPr>
                <w:rFonts w:ascii="Arial" w:hAnsi="Arial" w:cs="Arial"/>
              </w:rPr>
              <w:t>/2026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4FFBA419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 w:rsidRPr="00DC1D35">
              <w:rPr>
                <w:rFonts w:ascii="Arial" w:hAnsi="Arial" w:cs="Arial"/>
                <w:bCs/>
              </w:rPr>
              <w:t>CAM #</w:t>
            </w:r>
            <w:r w:rsidR="0008386F" w:rsidRPr="00DC1D35">
              <w:rPr>
                <w:rFonts w:ascii="Arial" w:hAnsi="Arial" w:cs="Arial"/>
                <w:bCs/>
              </w:rPr>
              <w:t>26-</w:t>
            </w:r>
            <w:r w:rsidR="00AB7A4E" w:rsidRPr="00DC1D35">
              <w:rPr>
                <w:rFonts w:ascii="Arial" w:hAnsi="Arial" w:cs="Arial"/>
                <w:bCs/>
              </w:rPr>
              <w:t>0299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D1E4" w14:textId="77777777" w:rsidR="00FC1F6B" w:rsidRDefault="00FC1F6B" w:rsidP="0088408D">
      <w:pPr>
        <w:spacing w:after="0" w:line="240" w:lineRule="auto"/>
      </w:pPr>
      <w:r>
        <w:separator/>
      </w:r>
    </w:p>
  </w:footnote>
  <w:footnote w:type="continuationSeparator" w:id="0">
    <w:p w14:paraId="3032643E" w14:textId="77777777" w:rsidR="00FC1F6B" w:rsidRDefault="00FC1F6B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D0484"/>
    <w:multiLevelType w:val="hybridMultilevel"/>
    <w:tmpl w:val="F85C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E182B"/>
    <w:multiLevelType w:val="multilevel"/>
    <w:tmpl w:val="AA1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7361B"/>
    <w:multiLevelType w:val="hybridMultilevel"/>
    <w:tmpl w:val="ED7E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1"/>
  </w:num>
  <w:num w:numId="2" w16cid:durableId="580679034">
    <w:abstractNumId w:val="2"/>
  </w:num>
  <w:num w:numId="3" w16cid:durableId="269355427">
    <w:abstractNumId w:val="3"/>
  </w:num>
  <w:num w:numId="4" w16cid:durableId="1353603358">
    <w:abstractNumId w:val="8"/>
  </w:num>
  <w:num w:numId="5" w16cid:durableId="1041515794">
    <w:abstractNumId w:val="6"/>
  </w:num>
  <w:num w:numId="6" w16cid:durableId="1871339308">
    <w:abstractNumId w:val="9"/>
  </w:num>
  <w:num w:numId="7" w16cid:durableId="1711495568">
    <w:abstractNumId w:val="4"/>
  </w:num>
  <w:num w:numId="8" w16cid:durableId="1247958356">
    <w:abstractNumId w:val="7"/>
  </w:num>
  <w:num w:numId="9" w16cid:durableId="5909739">
    <w:abstractNumId w:val="0"/>
  </w:num>
  <w:num w:numId="10" w16cid:durableId="374232641">
    <w:abstractNumId w:val="5"/>
  </w:num>
  <w:num w:numId="11" w16cid:durableId="509298101">
    <w:abstractNumId w:val="11"/>
  </w:num>
  <w:num w:numId="12" w16cid:durableId="1914075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2966"/>
    <w:rsid w:val="00012A84"/>
    <w:rsid w:val="0001578E"/>
    <w:rsid w:val="00015F4E"/>
    <w:rsid w:val="00017CEF"/>
    <w:rsid w:val="00024486"/>
    <w:rsid w:val="000248A9"/>
    <w:rsid w:val="000257E8"/>
    <w:rsid w:val="00036ED3"/>
    <w:rsid w:val="00042741"/>
    <w:rsid w:val="00043D5A"/>
    <w:rsid w:val="00053728"/>
    <w:rsid w:val="00054163"/>
    <w:rsid w:val="0005777E"/>
    <w:rsid w:val="000637CF"/>
    <w:rsid w:val="000677AD"/>
    <w:rsid w:val="00077E53"/>
    <w:rsid w:val="0008386F"/>
    <w:rsid w:val="00084821"/>
    <w:rsid w:val="0009344E"/>
    <w:rsid w:val="000A18B3"/>
    <w:rsid w:val="000A7D42"/>
    <w:rsid w:val="000B3D65"/>
    <w:rsid w:val="000C1AA7"/>
    <w:rsid w:val="000C2289"/>
    <w:rsid w:val="000C38CB"/>
    <w:rsid w:val="000C3C8D"/>
    <w:rsid w:val="000C5A70"/>
    <w:rsid w:val="000C712C"/>
    <w:rsid w:val="000D3E89"/>
    <w:rsid w:val="000D59D5"/>
    <w:rsid w:val="000D60A9"/>
    <w:rsid w:val="000E081A"/>
    <w:rsid w:val="00100A49"/>
    <w:rsid w:val="00101B56"/>
    <w:rsid w:val="001200D4"/>
    <w:rsid w:val="001207C1"/>
    <w:rsid w:val="00120E82"/>
    <w:rsid w:val="00123D1E"/>
    <w:rsid w:val="00124B00"/>
    <w:rsid w:val="00125127"/>
    <w:rsid w:val="0013032B"/>
    <w:rsid w:val="001312FC"/>
    <w:rsid w:val="0013157A"/>
    <w:rsid w:val="001318A5"/>
    <w:rsid w:val="00133CE4"/>
    <w:rsid w:val="00137AD2"/>
    <w:rsid w:val="001416DA"/>
    <w:rsid w:val="00142650"/>
    <w:rsid w:val="0014700C"/>
    <w:rsid w:val="00150291"/>
    <w:rsid w:val="00153D1F"/>
    <w:rsid w:val="00161AA7"/>
    <w:rsid w:val="00161BA0"/>
    <w:rsid w:val="00164E44"/>
    <w:rsid w:val="00172416"/>
    <w:rsid w:val="001731FC"/>
    <w:rsid w:val="00173507"/>
    <w:rsid w:val="001738CB"/>
    <w:rsid w:val="00174C75"/>
    <w:rsid w:val="0018620A"/>
    <w:rsid w:val="00186BAA"/>
    <w:rsid w:val="001951AE"/>
    <w:rsid w:val="00195CD0"/>
    <w:rsid w:val="00195D42"/>
    <w:rsid w:val="001B4946"/>
    <w:rsid w:val="001B5726"/>
    <w:rsid w:val="001C1860"/>
    <w:rsid w:val="001C35E3"/>
    <w:rsid w:val="001C5A67"/>
    <w:rsid w:val="001D00F3"/>
    <w:rsid w:val="001D1822"/>
    <w:rsid w:val="001D229C"/>
    <w:rsid w:val="001D40BA"/>
    <w:rsid w:val="001D45CA"/>
    <w:rsid w:val="001D4A56"/>
    <w:rsid w:val="001E3079"/>
    <w:rsid w:val="001E41EF"/>
    <w:rsid w:val="001E4929"/>
    <w:rsid w:val="001E576E"/>
    <w:rsid w:val="001E7587"/>
    <w:rsid w:val="001F4540"/>
    <w:rsid w:val="00201107"/>
    <w:rsid w:val="00204EF9"/>
    <w:rsid w:val="00204F12"/>
    <w:rsid w:val="00205AF3"/>
    <w:rsid w:val="00205C30"/>
    <w:rsid w:val="00206818"/>
    <w:rsid w:val="002070A4"/>
    <w:rsid w:val="002122B7"/>
    <w:rsid w:val="0021346A"/>
    <w:rsid w:val="00214DB2"/>
    <w:rsid w:val="002174DB"/>
    <w:rsid w:val="00223D34"/>
    <w:rsid w:val="00233DE2"/>
    <w:rsid w:val="00235017"/>
    <w:rsid w:val="00246EC8"/>
    <w:rsid w:val="00247B74"/>
    <w:rsid w:val="00252D08"/>
    <w:rsid w:val="0025404C"/>
    <w:rsid w:val="00254E1F"/>
    <w:rsid w:val="00261DA5"/>
    <w:rsid w:val="00265008"/>
    <w:rsid w:val="0026779C"/>
    <w:rsid w:val="002739CD"/>
    <w:rsid w:val="002744B6"/>
    <w:rsid w:val="002759B3"/>
    <w:rsid w:val="00277A58"/>
    <w:rsid w:val="00277BCB"/>
    <w:rsid w:val="00287EE1"/>
    <w:rsid w:val="00291039"/>
    <w:rsid w:val="00292268"/>
    <w:rsid w:val="00294B7E"/>
    <w:rsid w:val="002961D5"/>
    <w:rsid w:val="002A6BC6"/>
    <w:rsid w:val="002A6F33"/>
    <w:rsid w:val="002A7EE8"/>
    <w:rsid w:val="002B1CCA"/>
    <w:rsid w:val="002B4273"/>
    <w:rsid w:val="002C04B8"/>
    <w:rsid w:val="002C313C"/>
    <w:rsid w:val="002D594F"/>
    <w:rsid w:val="002E18D5"/>
    <w:rsid w:val="002E22EF"/>
    <w:rsid w:val="002E7552"/>
    <w:rsid w:val="00302AEC"/>
    <w:rsid w:val="0030306A"/>
    <w:rsid w:val="00304489"/>
    <w:rsid w:val="00305262"/>
    <w:rsid w:val="00311753"/>
    <w:rsid w:val="00317687"/>
    <w:rsid w:val="00325655"/>
    <w:rsid w:val="0032605D"/>
    <w:rsid w:val="00334F4E"/>
    <w:rsid w:val="003513C0"/>
    <w:rsid w:val="00351D7F"/>
    <w:rsid w:val="00352CDC"/>
    <w:rsid w:val="003574CE"/>
    <w:rsid w:val="00366F78"/>
    <w:rsid w:val="00371422"/>
    <w:rsid w:val="003718F7"/>
    <w:rsid w:val="0037591E"/>
    <w:rsid w:val="00382D8A"/>
    <w:rsid w:val="00385010"/>
    <w:rsid w:val="003856D7"/>
    <w:rsid w:val="00390F0A"/>
    <w:rsid w:val="003936BE"/>
    <w:rsid w:val="003942F5"/>
    <w:rsid w:val="003948BA"/>
    <w:rsid w:val="003A07C0"/>
    <w:rsid w:val="003A41BB"/>
    <w:rsid w:val="003A4D3B"/>
    <w:rsid w:val="003B11CD"/>
    <w:rsid w:val="003B2F38"/>
    <w:rsid w:val="003B4896"/>
    <w:rsid w:val="003B4970"/>
    <w:rsid w:val="003B4F40"/>
    <w:rsid w:val="003C196E"/>
    <w:rsid w:val="003C2A1A"/>
    <w:rsid w:val="003C4053"/>
    <w:rsid w:val="003D000C"/>
    <w:rsid w:val="003D7088"/>
    <w:rsid w:val="003E5A49"/>
    <w:rsid w:val="003E756E"/>
    <w:rsid w:val="003F041F"/>
    <w:rsid w:val="004122B6"/>
    <w:rsid w:val="004156A3"/>
    <w:rsid w:val="00422064"/>
    <w:rsid w:val="00422206"/>
    <w:rsid w:val="00426CEA"/>
    <w:rsid w:val="004314B6"/>
    <w:rsid w:val="00432B00"/>
    <w:rsid w:val="00433A6B"/>
    <w:rsid w:val="004365E0"/>
    <w:rsid w:val="00436E7B"/>
    <w:rsid w:val="00437AF7"/>
    <w:rsid w:val="004414A8"/>
    <w:rsid w:val="00442AC2"/>
    <w:rsid w:val="004435A7"/>
    <w:rsid w:val="004450C1"/>
    <w:rsid w:val="004532D8"/>
    <w:rsid w:val="00454654"/>
    <w:rsid w:val="00457587"/>
    <w:rsid w:val="00462470"/>
    <w:rsid w:val="004635DF"/>
    <w:rsid w:val="00464E2D"/>
    <w:rsid w:val="00465353"/>
    <w:rsid w:val="004665AB"/>
    <w:rsid w:val="0047597B"/>
    <w:rsid w:val="00475D21"/>
    <w:rsid w:val="00476DA7"/>
    <w:rsid w:val="00487B4A"/>
    <w:rsid w:val="0049200D"/>
    <w:rsid w:val="00493BBB"/>
    <w:rsid w:val="004A154D"/>
    <w:rsid w:val="004A1B83"/>
    <w:rsid w:val="004A3C62"/>
    <w:rsid w:val="004A6D1B"/>
    <w:rsid w:val="004B19F6"/>
    <w:rsid w:val="004B2E50"/>
    <w:rsid w:val="004B454E"/>
    <w:rsid w:val="004B5154"/>
    <w:rsid w:val="004B5C48"/>
    <w:rsid w:val="004C1448"/>
    <w:rsid w:val="004C1669"/>
    <w:rsid w:val="004C680F"/>
    <w:rsid w:val="004C7E07"/>
    <w:rsid w:val="004D4153"/>
    <w:rsid w:val="004D6722"/>
    <w:rsid w:val="004F0F2B"/>
    <w:rsid w:val="004F5D3B"/>
    <w:rsid w:val="00501C5B"/>
    <w:rsid w:val="00507AA6"/>
    <w:rsid w:val="00507B8B"/>
    <w:rsid w:val="00510FB2"/>
    <w:rsid w:val="00513E6B"/>
    <w:rsid w:val="00514DCA"/>
    <w:rsid w:val="00522726"/>
    <w:rsid w:val="0052498C"/>
    <w:rsid w:val="00524FBD"/>
    <w:rsid w:val="0052557D"/>
    <w:rsid w:val="00533437"/>
    <w:rsid w:val="005351FA"/>
    <w:rsid w:val="005373A6"/>
    <w:rsid w:val="00540CDE"/>
    <w:rsid w:val="005413EA"/>
    <w:rsid w:val="005465E9"/>
    <w:rsid w:val="00547E37"/>
    <w:rsid w:val="00554F0C"/>
    <w:rsid w:val="00560C6B"/>
    <w:rsid w:val="00567B02"/>
    <w:rsid w:val="0057270A"/>
    <w:rsid w:val="0057636E"/>
    <w:rsid w:val="0057786B"/>
    <w:rsid w:val="0058198A"/>
    <w:rsid w:val="00591C71"/>
    <w:rsid w:val="00596CEB"/>
    <w:rsid w:val="005A1FFB"/>
    <w:rsid w:val="005A357C"/>
    <w:rsid w:val="005A42B3"/>
    <w:rsid w:val="005A64F0"/>
    <w:rsid w:val="005A7335"/>
    <w:rsid w:val="005C2AD7"/>
    <w:rsid w:val="005C3183"/>
    <w:rsid w:val="005C5FE8"/>
    <w:rsid w:val="005D0D1E"/>
    <w:rsid w:val="005D3867"/>
    <w:rsid w:val="005E058A"/>
    <w:rsid w:val="005E186D"/>
    <w:rsid w:val="005E436C"/>
    <w:rsid w:val="005F0842"/>
    <w:rsid w:val="005F3714"/>
    <w:rsid w:val="005F4E4D"/>
    <w:rsid w:val="005F58E4"/>
    <w:rsid w:val="005F6E78"/>
    <w:rsid w:val="005F7A4C"/>
    <w:rsid w:val="00612FD4"/>
    <w:rsid w:val="006237C8"/>
    <w:rsid w:val="00623B54"/>
    <w:rsid w:val="00632E8C"/>
    <w:rsid w:val="00636B0D"/>
    <w:rsid w:val="00642312"/>
    <w:rsid w:val="00645BB9"/>
    <w:rsid w:val="00651415"/>
    <w:rsid w:val="00667026"/>
    <w:rsid w:val="0066711B"/>
    <w:rsid w:val="00680FA1"/>
    <w:rsid w:val="00681CB8"/>
    <w:rsid w:val="00696D3F"/>
    <w:rsid w:val="006A25F4"/>
    <w:rsid w:val="006A6AA5"/>
    <w:rsid w:val="006A731C"/>
    <w:rsid w:val="006B0655"/>
    <w:rsid w:val="006B572C"/>
    <w:rsid w:val="006B673B"/>
    <w:rsid w:val="006B7D48"/>
    <w:rsid w:val="006C25B6"/>
    <w:rsid w:val="006C3D6C"/>
    <w:rsid w:val="006C5B47"/>
    <w:rsid w:val="006C6588"/>
    <w:rsid w:val="006C6D47"/>
    <w:rsid w:val="006D2AB4"/>
    <w:rsid w:val="006D47B5"/>
    <w:rsid w:val="006D4DA3"/>
    <w:rsid w:val="006D67BF"/>
    <w:rsid w:val="006E182D"/>
    <w:rsid w:val="006E3253"/>
    <w:rsid w:val="006E4C96"/>
    <w:rsid w:val="006F2832"/>
    <w:rsid w:val="00700CF3"/>
    <w:rsid w:val="007036B9"/>
    <w:rsid w:val="00703C2E"/>
    <w:rsid w:val="00703EE1"/>
    <w:rsid w:val="00706BB9"/>
    <w:rsid w:val="007079DB"/>
    <w:rsid w:val="00711CF3"/>
    <w:rsid w:val="00713AE9"/>
    <w:rsid w:val="00715B91"/>
    <w:rsid w:val="0072144D"/>
    <w:rsid w:val="00730758"/>
    <w:rsid w:val="00731E9F"/>
    <w:rsid w:val="0073380B"/>
    <w:rsid w:val="00733826"/>
    <w:rsid w:val="007423A8"/>
    <w:rsid w:val="00753A06"/>
    <w:rsid w:val="00766F29"/>
    <w:rsid w:val="00770A3D"/>
    <w:rsid w:val="00775C23"/>
    <w:rsid w:val="00775EFD"/>
    <w:rsid w:val="0077622D"/>
    <w:rsid w:val="007859B5"/>
    <w:rsid w:val="0078745C"/>
    <w:rsid w:val="00794316"/>
    <w:rsid w:val="007A16E0"/>
    <w:rsid w:val="007A318A"/>
    <w:rsid w:val="007A798F"/>
    <w:rsid w:val="007B2DB1"/>
    <w:rsid w:val="007B3490"/>
    <w:rsid w:val="007C1FE0"/>
    <w:rsid w:val="007D0C3A"/>
    <w:rsid w:val="007D7A67"/>
    <w:rsid w:val="007E57AC"/>
    <w:rsid w:val="007F18DA"/>
    <w:rsid w:val="007F1B5E"/>
    <w:rsid w:val="00801209"/>
    <w:rsid w:val="0080466F"/>
    <w:rsid w:val="00805C37"/>
    <w:rsid w:val="00813847"/>
    <w:rsid w:val="0081447E"/>
    <w:rsid w:val="00821931"/>
    <w:rsid w:val="008223A9"/>
    <w:rsid w:val="008314A9"/>
    <w:rsid w:val="008325D7"/>
    <w:rsid w:val="008351D3"/>
    <w:rsid w:val="00844F73"/>
    <w:rsid w:val="00845423"/>
    <w:rsid w:val="008521D1"/>
    <w:rsid w:val="008536F9"/>
    <w:rsid w:val="008601DD"/>
    <w:rsid w:val="00862657"/>
    <w:rsid w:val="00865927"/>
    <w:rsid w:val="0087637D"/>
    <w:rsid w:val="00883412"/>
    <w:rsid w:val="00883B66"/>
    <w:rsid w:val="0088408D"/>
    <w:rsid w:val="00890BB6"/>
    <w:rsid w:val="0089364E"/>
    <w:rsid w:val="008937CD"/>
    <w:rsid w:val="0089655B"/>
    <w:rsid w:val="008B452D"/>
    <w:rsid w:val="008C441D"/>
    <w:rsid w:val="008C5619"/>
    <w:rsid w:val="008C6172"/>
    <w:rsid w:val="008C6BD9"/>
    <w:rsid w:val="008D1349"/>
    <w:rsid w:val="008E3E7A"/>
    <w:rsid w:val="008E3F9A"/>
    <w:rsid w:val="008E50B2"/>
    <w:rsid w:val="008E7BBB"/>
    <w:rsid w:val="008F3816"/>
    <w:rsid w:val="0090456D"/>
    <w:rsid w:val="009111E2"/>
    <w:rsid w:val="009117C0"/>
    <w:rsid w:val="0091187A"/>
    <w:rsid w:val="00917A5D"/>
    <w:rsid w:val="00926756"/>
    <w:rsid w:val="00930A5A"/>
    <w:rsid w:val="00931CA1"/>
    <w:rsid w:val="0093514A"/>
    <w:rsid w:val="00941DE0"/>
    <w:rsid w:val="009452F8"/>
    <w:rsid w:val="00960269"/>
    <w:rsid w:val="00960A93"/>
    <w:rsid w:val="0096459B"/>
    <w:rsid w:val="0096560E"/>
    <w:rsid w:val="009709DB"/>
    <w:rsid w:val="00971777"/>
    <w:rsid w:val="00972CCD"/>
    <w:rsid w:val="0097510D"/>
    <w:rsid w:val="00981A73"/>
    <w:rsid w:val="00992D1A"/>
    <w:rsid w:val="009A3BE8"/>
    <w:rsid w:val="009A6344"/>
    <w:rsid w:val="009A72DE"/>
    <w:rsid w:val="009B0B0E"/>
    <w:rsid w:val="009B27A6"/>
    <w:rsid w:val="009B4528"/>
    <w:rsid w:val="009B611A"/>
    <w:rsid w:val="009C1513"/>
    <w:rsid w:val="009C21FF"/>
    <w:rsid w:val="009C37AA"/>
    <w:rsid w:val="009C3A47"/>
    <w:rsid w:val="009D38D4"/>
    <w:rsid w:val="009D7421"/>
    <w:rsid w:val="009D7C30"/>
    <w:rsid w:val="009E52BA"/>
    <w:rsid w:val="009E6E37"/>
    <w:rsid w:val="009E737B"/>
    <w:rsid w:val="009E7495"/>
    <w:rsid w:val="009F5151"/>
    <w:rsid w:val="00A013E6"/>
    <w:rsid w:val="00A0235F"/>
    <w:rsid w:val="00A03A5B"/>
    <w:rsid w:val="00A04E51"/>
    <w:rsid w:val="00A07079"/>
    <w:rsid w:val="00A207CA"/>
    <w:rsid w:val="00A238BD"/>
    <w:rsid w:val="00A25D21"/>
    <w:rsid w:val="00A3223D"/>
    <w:rsid w:val="00A333F0"/>
    <w:rsid w:val="00A354D6"/>
    <w:rsid w:val="00A3550B"/>
    <w:rsid w:val="00A35C6A"/>
    <w:rsid w:val="00A426C9"/>
    <w:rsid w:val="00A4696F"/>
    <w:rsid w:val="00A638D9"/>
    <w:rsid w:val="00A67962"/>
    <w:rsid w:val="00A7046B"/>
    <w:rsid w:val="00A71159"/>
    <w:rsid w:val="00A7437D"/>
    <w:rsid w:val="00A75B0E"/>
    <w:rsid w:val="00A77BE2"/>
    <w:rsid w:val="00A83F47"/>
    <w:rsid w:val="00A8485E"/>
    <w:rsid w:val="00A85F3A"/>
    <w:rsid w:val="00A8630E"/>
    <w:rsid w:val="00A8746A"/>
    <w:rsid w:val="00A91343"/>
    <w:rsid w:val="00A915F4"/>
    <w:rsid w:val="00A921E4"/>
    <w:rsid w:val="00A94915"/>
    <w:rsid w:val="00AA2109"/>
    <w:rsid w:val="00AA7A30"/>
    <w:rsid w:val="00AB04C9"/>
    <w:rsid w:val="00AB1244"/>
    <w:rsid w:val="00AB3C53"/>
    <w:rsid w:val="00AB7A4E"/>
    <w:rsid w:val="00AC2251"/>
    <w:rsid w:val="00AC4BF6"/>
    <w:rsid w:val="00AC4C96"/>
    <w:rsid w:val="00AD1013"/>
    <w:rsid w:val="00AE33D3"/>
    <w:rsid w:val="00AE3C0A"/>
    <w:rsid w:val="00AE5C2C"/>
    <w:rsid w:val="00AE7C68"/>
    <w:rsid w:val="00AE7F15"/>
    <w:rsid w:val="00AF13E2"/>
    <w:rsid w:val="00AF19AE"/>
    <w:rsid w:val="00AF4F7A"/>
    <w:rsid w:val="00AF670D"/>
    <w:rsid w:val="00AF75C2"/>
    <w:rsid w:val="00B004E6"/>
    <w:rsid w:val="00B031B0"/>
    <w:rsid w:val="00B03832"/>
    <w:rsid w:val="00B06C64"/>
    <w:rsid w:val="00B102BA"/>
    <w:rsid w:val="00B15DFC"/>
    <w:rsid w:val="00B164A6"/>
    <w:rsid w:val="00B25AA0"/>
    <w:rsid w:val="00B33D33"/>
    <w:rsid w:val="00B405F3"/>
    <w:rsid w:val="00B4210F"/>
    <w:rsid w:val="00B42846"/>
    <w:rsid w:val="00B4583D"/>
    <w:rsid w:val="00B45F99"/>
    <w:rsid w:val="00B47B2E"/>
    <w:rsid w:val="00B50B19"/>
    <w:rsid w:val="00B56D63"/>
    <w:rsid w:val="00B677B4"/>
    <w:rsid w:val="00B67E50"/>
    <w:rsid w:val="00B730D8"/>
    <w:rsid w:val="00B75D96"/>
    <w:rsid w:val="00B77E4B"/>
    <w:rsid w:val="00B80B5D"/>
    <w:rsid w:val="00B81C0F"/>
    <w:rsid w:val="00B84E61"/>
    <w:rsid w:val="00B90988"/>
    <w:rsid w:val="00B90D99"/>
    <w:rsid w:val="00B94F1B"/>
    <w:rsid w:val="00B950D9"/>
    <w:rsid w:val="00B9519A"/>
    <w:rsid w:val="00B97C9A"/>
    <w:rsid w:val="00BA05D0"/>
    <w:rsid w:val="00BA334F"/>
    <w:rsid w:val="00BA7B0E"/>
    <w:rsid w:val="00BB226A"/>
    <w:rsid w:val="00BC09B7"/>
    <w:rsid w:val="00BC1954"/>
    <w:rsid w:val="00BC2E09"/>
    <w:rsid w:val="00BC4047"/>
    <w:rsid w:val="00BD4CB2"/>
    <w:rsid w:val="00BD59D4"/>
    <w:rsid w:val="00BD5AB4"/>
    <w:rsid w:val="00BE1524"/>
    <w:rsid w:val="00BE41CA"/>
    <w:rsid w:val="00BE7399"/>
    <w:rsid w:val="00C072FE"/>
    <w:rsid w:val="00C104ED"/>
    <w:rsid w:val="00C107A8"/>
    <w:rsid w:val="00C147E4"/>
    <w:rsid w:val="00C174BC"/>
    <w:rsid w:val="00C20C8A"/>
    <w:rsid w:val="00C22B4C"/>
    <w:rsid w:val="00C3555F"/>
    <w:rsid w:val="00C36623"/>
    <w:rsid w:val="00C500BC"/>
    <w:rsid w:val="00C50D76"/>
    <w:rsid w:val="00C510A0"/>
    <w:rsid w:val="00C53006"/>
    <w:rsid w:val="00C56D7D"/>
    <w:rsid w:val="00C578D2"/>
    <w:rsid w:val="00C719BD"/>
    <w:rsid w:val="00C76CC6"/>
    <w:rsid w:val="00C777C6"/>
    <w:rsid w:val="00C838EF"/>
    <w:rsid w:val="00C84CF4"/>
    <w:rsid w:val="00C859FD"/>
    <w:rsid w:val="00C85BF2"/>
    <w:rsid w:val="00C920D3"/>
    <w:rsid w:val="00C93A41"/>
    <w:rsid w:val="00C94891"/>
    <w:rsid w:val="00C96BBC"/>
    <w:rsid w:val="00CA5A9F"/>
    <w:rsid w:val="00CA6D5D"/>
    <w:rsid w:val="00CB21F6"/>
    <w:rsid w:val="00CB57CB"/>
    <w:rsid w:val="00CC0765"/>
    <w:rsid w:val="00CD0D52"/>
    <w:rsid w:val="00CD7042"/>
    <w:rsid w:val="00CE0B83"/>
    <w:rsid w:val="00CE0F15"/>
    <w:rsid w:val="00CE2F1B"/>
    <w:rsid w:val="00CE46FE"/>
    <w:rsid w:val="00CE64FB"/>
    <w:rsid w:val="00D0296B"/>
    <w:rsid w:val="00D051C8"/>
    <w:rsid w:val="00D06746"/>
    <w:rsid w:val="00D071E1"/>
    <w:rsid w:val="00D15C11"/>
    <w:rsid w:val="00D239EB"/>
    <w:rsid w:val="00D26C34"/>
    <w:rsid w:val="00D27A36"/>
    <w:rsid w:val="00D27C1B"/>
    <w:rsid w:val="00D31563"/>
    <w:rsid w:val="00D36266"/>
    <w:rsid w:val="00D411AC"/>
    <w:rsid w:val="00D45F7A"/>
    <w:rsid w:val="00D46A68"/>
    <w:rsid w:val="00D500E3"/>
    <w:rsid w:val="00D55D5F"/>
    <w:rsid w:val="00D605C9"/>
    <w:rsid w:val="00D64DFE"/>
    <w:rsid w:val="00D66265"/>
    <w:rsid w:val="00D76380"/>
    <w:rsid w:val="00D763C4"/>
    <w:rsid w:val="00D8055E"/>
    <w:rsid w:val="00D827C1"/>
    <w:rsid w:val="00D82A84"/>
    <w:rsid w:val="00D91B3F"/>
    <w:rsid w:val="00D92A88"/>
    <w:rsid w:val="00D932EC"/>
    <w:rsid w:val="00D9344C"/>
    <w:rsid w:val="00D9415F"/>
    <w:rsid w:val="00DA652C"/>
    <w:rsid w:val="00DC0F92"/>
    <w:rsid w:val="00DC19D3"/>
    <w:rsid w:val="00DC1D35"/>
    <w:rsid w:val="00DC2E7D"/>
    <w:rsid w:val="00DC4F2F"/>
    <w:rsid w:val="00DC5568"/>
    <w:rsid w:val="00DD3EFF"/>
    <w:rsid w:val="00DD4F80"/>
    <w:rsid w:val="00DE1C13"/>
    <w:rsid w:val="00DE6E3A"/>
    <w:rsid w:val="00DE6FAD"/>
    <w:rsid w:val="00DF3298"/>
    <w:rsid w:val="00DF5C5D"/>
    <w:rsid w:val="00DF6257"/>
    <w:rsid w:val="00DF676A"/>
    <w:rsid w:val="00DF6B6D"/>
    <w:rsid w:val="00E07344"/>
    <w:rsid w:val="00E1075C"/>
    <w:rsid w:val="00E1173A"/>
    <w:rsid w:val="00E120A4"/>
    <w:rsid w:val="00E13894"/>
    <w:rsid w:val="00E1522F"/>
    <w:rsid w:val="00E15B65"/>
    <w:rsid w:val="00E20C83"/>
    <w:rsid w:val="00E22943"/>
    <w:rsid w:val="00E2421D"/>
    <w:rsid w:val="00E2587E"/>
    <w:rsid w:val="00E25EA5"/>
    <w:rsid w:val="00E315B2"/>
    <w:rsid w:val="00E40D17"/>
    <w:rsid w:val="00E4532B"/>
    <w:rsid w:val="00E457D8"/>
    <w:rsid w:val="00E47FE8"/>
    <w:rsid w:val="00E5102B"/>
    <w:rsid w:val="00E52CAD"/>
    <w:rsid w:val="00E55531"/>
    <w:rsid w:val="00E601D4"/>
    <w:rsid w:val="00E6213F"/>
    <w:rsid w:val="00E67703"/>
    <w:rsid w:val="00E67A2D"/>
    <w:rsid w:val="00E80C64"/>
    <w:rsid w:val="00E82E2D"/>
    <w:rsid w:val="00E8604F"/>
    <w:rsid w:val="00E93EE4"/>
    <w:rsid w:val="00E96FD7"/>
    <w:rsid w:val="00EA1622"/>
    <w:rsid w:val="00EA4A06"/>
    <w:rsid w:val="00EB0856"/>
    <w:rsid w:val="00EB0F14"/>
    <w:rsid w:val="00EB1F0D"/>
    <w:rsid w:val="00EB3CD6"/>
    <w:rsid w:val="00EB6048"/>
    <w:rsid w:val="00EC454A"/>
    <w:rsid w:val="00ED29EA"/>
    <w:rsid w:val="00ED529E"/>
    <w:rsid w:val="00ED68A4"/>
    <w:rsid w:val="00ED6F29"/>
    <w:rsid w:val="00EE0A04"/>
    <w:rsid w:val="00EE75E2"/>
    <w:rsid w:val="00F0456E"/>
    <w:rsid w:val="00F04DE6"/>
    <w:rsid w:val="00F05A94"/>
    <w:rsid w:val="00F07406"/>
    <w:rsid w:val="00F165BB"/>
    <w:rsid w:val="00F24135"/>
    <w:rsid w:val="00F24417"/>
    <w:rsid w:val="00F268A6"/>
    <w:rsid w:val="00F30921"/>
    <w:rsid w:val="00F32636"/>
    <w:rsid w:val="00F34770"/>
    <w:rsid w:val="00F35A94"/>
    <w:rsid w:val="00F42C3B"/>
    <w:rsid w:val="00F4577E"/>
    <w:rsid w:val="00F511F0"/>
    <w:rsid w:val="00F66E04"/>
    <w:rsid w:val="00F671E4"/>
    <w:rsid w:val="00F70492"/>
    <w:rsid w:val="00F75506"/>
    <w:rsid w:val="00F75788"/>
    <w:rsid w:val="00F75AE6"/>
    <w:rsid w:val="00F83262"/>
    <w:rsid w:val="00F8655C"/>
    <w:rsid w:val="00F869D7"/>
    <w:rsid w:val="00F90FED"/>
    <w:rsid w:val="00FA725A"/>
    <w:rsid w:val="00FB139D"/>
    <w:rsid w:val="00FB1529"/>
    <w:rsid w:val="00FB3190"/>
    <w:rsid w:val="00FB3F5E"/>
    <w:rsid w:val="00FB54B2"/>
    <w:rsid w:val="00FB67B2"/>
    <w:rsid w:val="00FC1F6B"/>
    <w:rsid w:val="00FC3AEF"/>
    <w:rsid w:val="00FC7DBF"/>
    <w:rsid w:val="00FD37B2"/>
    <w:rsid w:val="00FD6285"/>
    <w:rsid w:val="00FE197C"/>
    <w:rsid w:val="00FE1F90"/>
    <w:rsid w:val="00FF3C4C"/>
    <w:rsid w:val="0124E345"/>
    <w:rsid w:val="012CB32F"/>
    <w:rsid w:val="01518130"/>
    <w:rsid w:val="016942A9"/>
    <w:rsid w:val="02FC353D"/>
    <w:rsid w:val="04708ADF"/>
    <w:rsid w:val="055158B0"/>
    <w:rsid w:val="06982C73"/>
    <w:rsid w:val="08233C86"/>
    <w:rsid w:val="086092F7"/>
    <w:rsid w:val="0AD730D6"/>
    <w:rsid w:val="0B4FA1AD"/>
    <w:rsid w:val="0B50DCC4"/>
    <w:rsid w:val="0B93A014"/>
    <w:rsid w:val="0BC6B1AF"/>
    <w:rsid w:val="0FCEAC2F"/>
    <w:rsid w:val="1043E58B"/>
    <w:rsid w:val="106B7B87"/>
    <w:rsid w:val="10955B57"/>
    <w:rsid w:val="11C919D1"/>
    <w:rsid w:val="12A7F600"/>
    <w:rsid w:val="12DEC4E7"/>
    <w:rsid w:val="150AB537"/>
    <w:rsid w:val="151A2D0B"/>
    <w:rsid w:val="163E2AF5"/>
    <w:rsid w:val="16615286"/>
    <w:rsid w:val="1776CBAE"/>
    <w:rsid w:val="179000A2"/>
    <w:rsid w:val="19641469"/>
    <w:rsid w:val="1AD720FE"/>
    <w:rsid w:val="1C1DAE5C"/>
    <w:rsid w:val="1D46329D"/>
    <w:rsid w:val="1E133C1B"/>
    <w:rsid w:val="1EFF0F0E"/>
    <w:rsid w:val="21692739"/>
    <w:rsid w:val="2456590A"/>
    <w:rsid w:val="2476A8E8"/>
    <w:rsid w:val="260C60EC"/>
    <w:rsid w:val="26DA4658"/>
    <w:rsid w:val="277637FF"/>
    <w:rsid w:val="27BDDCC0"/>
    <w:rsid w:val="28E42122"/>
    <w:rsid w:val="2B3E54A9"/>
    <w:rsid w:val="2B4CB6CF"/>
    <w:rsid w:val="2C432CE7"/>
    <w:rsid w:val="2C74117E"/>
    <w:rsid w:val="2D2A1180"/>
    <w:rsid w:val="2DFB0B03"/>
    <w:rsid w:val="2FB422D2"/>
    <w:rsid w:val="309185A7"/>
    <w:rsid w:val="30E7D445"/>
    <w:rsid w:val="317D05D1"/>
    <w:rsid w:val="320A1AA0"/>
    <w:rsid w:val="36AA7C10"/>
    <w:rsid w:val="36D97BF2"/>
    <w:rsid w:val="38B68AC8"/>
    <w:rsid w:val="3961061C"/>
    <w:rsid w:val="3962CFE7"/>
    <w:rsid w:val="3A30500E"/>
    <w:rsid w:val="3A9BD1C5"/>
    <w:rsid w:val="3B700A56"/>
    <w:rsid w:val="3C34DDAF"/>
    <w:rsid w:val="3C53A66F"/>
    <w:rsid w:val="3CED1013"/>
    <w:rsid w:val="3FBD4A78"/>
    <w:rsid w:val="4115F831"/>
    <w:rsid w:val="41EE7275"/>
    <w:rsid w:val="433FA4F5"/>
    <w:rsid w:val="43A9BD5C"/>
    <w:rsid w:val="44C9713C"/>
    <w:rsid w:val="45920D6B"/>
    <w:rsid w:val="478FD568"/>
    <w:rsid w:val="47FECFD3"/>
    <w:rsid w:val="4815C475"/>
    <w:rsid w:val="4B38B74D"/>
    <w:rsid w:val="4C2BAF29"/>
    <w:rsid w:val="4CF0EC45"/>
    <w:rsid w:val="507DE37B"/>
    <w:rsid w:val="52880143"/>
    <w:rsid w:val="55EAB002"/>
    <w:rsid w:val="5953CA03"/>
    <w:rsid w:val="5967786B"/>
    <w:rsid w:val="5B581B08"/>
    <w:rsid w:val="5B734461"/>
    <w:rsid w:val="5C535D38"/>
    <w:rsid w:val="5CAF4E72"/>
    <w:rsid w:val="5D8A5B14"/>
    <w:rsid w:val="5DF5709B"/>
    <w:rsid w:val="5E1062A3"/>
    <w:rsid w:val="5FE0DBDF"/>
    <w:rsid w:val="61FB89CD"/>
    <w:rsid w:val="658AE98E"/>
    <w:rsid w:val="6694A8BD"/>
    <w:rsid w:val="6739A798"/>
    <w:rsid w:val="67C341EC"/>
    <w:rsid w:val="67F43639"/>
    <w:rsid w:val="684DD5C7"/>
    <w:rsid w:val="69B59A69"/>
    <w:rsid w:val="6B915E4E"/>
    <w:rsid w:val="6C2657ED"/>
    <w:rsid w:val="6C7F5F94"/>
    <w:rsid w:val="6C972FB5"/>
    <w:rsid w:val="6E500DFE"/>
    <w:rsid w:val="6E593613"/>
    <w:rsid w:val="6F12B17B"/>
    <w:rsid w:val="70C8D5F5"/>
    <w:rsid w:val="70DC8010"/>
    <w:rsid w:val="70FB11FE"/>
    <w:rsid w:val="72DD93E2"/>
    <w:rsid w:val="7306E519"/>
    <w:rsid w:val="750AE99D"/>
    <w:rsid w:val="755712E4"/>
    <w:rsid w:val="75857EF6"/>
    <w:rsid w:val="7613565E"/>
    <w:rsid w:val="779527F6"/>
    <w:rsid w:val="77DCEEF7"/>
    <w:rsid w:val="7A412271"/>
    <w:rsid w:val="7A4A5E4A"/>
    <w:rsid w:val="7C8DBA8F"/>
    <w:rsid w:val="7D9FC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D09B58C9-2BD7-417C-A1DB-3FB3BDBD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A0EB6C6CF5541896FD0082C14B3B0" ma:contentTypeVersion="0" ma:contentTypeDescription="Create a new document." ma:contentTypeScope="" ma:versionID="5c5d9c4964260c6c1a54e5574e54f1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34644-B9A7-44BF-AF24-0005CB048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2FEE6-5BC8-48EB-AEB6-5E3B6F63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08EDBD-CEC3-42BB-9792-BC89A8D699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4930</Characters>
  <Application>Microsoft Office Word</Application>
  <DocSecurity>0</DocSecurity>
  <Lines>41</Lines>
  <Paragraphs>11</Paragraphs>
  <ScaleCrop>false</ScaleCrop>
  <Company>City of Fort Lauderdale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cp:lastModifiedBy>Katerina Skoundridakis</cp:lastModifiedBy>
  <cp:revision>2</cp:revision>
  <cp:lastPrinted>2017-05-24T16:40:00Z</cp:lastPrinted>
  <dcterms:created xsi:type="dcterms:W3CDTF">2026-03-30T17:27:00Z</dcterms:created>
  <dcterms:modified xsi:type="dcterms:W3CDTF">2026-03-30T17:27:00Z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0x0101006E8A0EB6C6CF5541896FD0082C14B3B0</vt:lpwstr>
  </property>
</Properties>
</file>