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1FBC2882"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r>
      <w:r w:rsidRPr="00FB5A26">
        <w:rPr>
          <w:rFonts w:ascii="Arial" w:hAnsi="Arial" w:cs="Arial"/>
          <w:b/>
          <w:bCs/>
          <w:spacing w:val="3"/>
          <w:sz w:val="24"/>
          <w:szCs w:val="24"/>
        </w:rPr>
        <w:t>#</w:t>
      </w:r>
      <w:r w:rsidR="00A354D6" w:rsidRPr="00FB5A26">
        <w:rPr>
          <w:rFonts w:ascii="Arial" w:hAnsi="Arial" w:cs="Arial"/>
          <w:b/>
          <w:bCs/>
          <w:spacing w:val="3"/>
          <w:sz w:val="24"/>
          <w:szCs w:val="24"/>
        </w:rPr>
        <w:t>2</w:t>
      </w:r>
      <w:r w:rsidR="00A47E81">
        <w:rPr>
          <w:rFonts w:ascii="Arial" w:hAnsi="Arial" w:cs="Arial"/>
          <w:b/>
          <w:bCs/>
          <w:spacing w:val="3"/>
          <w:sz w:val="24"/>
          <w:szCs w:val="24"/>
        </w:rPr>
        <w:t>6</w:t>
      </w:r>
      <w:r w:rsidRPr="00FB5A26">
        <w:rPr>
          <w:rFonts w:ascii="Arial" w:hAnsi="Arial" w:cs="Arial"/>
          <w:b/>
          <w:bCs/>
          <w:spacing w:val="3"/>
          <w:sz w:val="24"/>
          <w:szCs w:val="24"/>
        </w:rPr>
        <w:t>-</w:t>
      </w:r>
      <w:r w:rsidR="00A47E81">
        <w:rPr>
          <w:rFonts w:ascii="Arial" w:hAnsi="Arial" w:cs="Arial"/>
          <w:b/>
          <w:bCs/>
          <w:spacing w:val="3"/>
          <w:sz w:val="24"/>
          <w:szCs w:val="24"/>
        </w:rPr>
        <w:t>0</w:t>
      </w:r>
      <w:r w:rsidR="004F20DE">
        <w:rPr>
          <w:rFonts w:ascii="Arial" w:hAnsi="Arial" w:cs="Arial"/>
          <w:b/>
          <w:bCs/>
          <w:spacing w:val="3"/>
          <w:sz w:val="24"/>
          <w:szCs w:val="24"/>
        </w:rPr>
        <w:t>279</w:t>
      </w:r>
      <w:r>
        <w:rPr>
          <w:rFonts w:ascii="Arial" w:hAnsi="Arial" w:cs="Arial"/>
          <w:b/>
          <w:bCs/>
          <w:spacing w:val="3"/>
          <w:sz w:val="24"/>
          <w:szCs w:val="24"/>
        </w:rPr>
        <w:tab/>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3279FE6">
              <v:line id="Line 5"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5F20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3CE6C184"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AB1244">
        <w:rPr>
          <w:rFonts w:ascii="Arial" w:hAnsi="Arial" w:cs="Arial"/>
          <w:spacing w:val="-2"/>
          <w:sz w:val="24"/>
          <w:szCs w:val="24"/>
        </w:rPr>
        <w:t>Rickelle Williams</w:t>
      </w:r>
      <w:r w:rsidR="00B50B19">
        <w:rPr>
          <w:rFonts w:ascii="Arial" w:hAnsi="Arial" w:cs="Arial"/>
          <w:spacing w:val="-2"/>
          <w:sz w:val="24"/>
          <w:szCs w:val="24"/>
        </w:rPr>
        <w:t>,</w:t>
      </w:r>
      <w:r w:rsidR="00AB1244">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6545371F" w:rsidR="00775C23" w:rsidRDefault="00775C23" w:rsidP="00706BB9">
      <w:pPr>
        <w:spacing w:after="0" w:line="240" w:lineRule="auto"/>
        <w:jc w:val="both"/>
        <w:rPr>
          <w:rFonts w:ascii="Arial" w:hAnsi="Arial" w:cs="Arial"/>
          <w:sz w:val="24"/>
          <w:szCs w:val="24"/>
        </w:rPr>
      </w:pPr>
      <w:r w:rsidRPr="00960269">
        <w:rPr>
          <w:rFonts w:ascii="Arial" w:hAnsi="Arial" w:cs="Arial"/>
          <w:b/>
          <w:sz w:val="24"/>
          <w:szCs w:val="24"/>
        </w:rPr>
        <w:t>DATE</w:t>
      </w:r>
      <w:r w:rsidRPr="00960269">
        <w:rPr>
          <w:rFonts w:ascii="Arial" w:hAnsi="Arial" w:cs="Arial"/>
          <w:sz w:val="24"/>
          <w:szCs w:val="24"/>
        </w:rPr>
        <w:t>:</w:t>
      </w:r>
      <w:r w:rsidRPr="00960269">
        <w:rPr>
          <w:rFonts w:ascii="Arial" w:hAnsi="Arial" w:cs="Arial"/>
          <w:sz w:val="24"/>
          <w:szCs w:val="24"/>
        </w:rPr>
        <w:tab/>
      </w:r>
      <w:r w:rsidR="00EB06F0">
        <w:rPr>
          <w:rFonts w:ascii="Arial" w:hAnsi="Arial" w:cs="Arial"/>
          <w:sz w:val="24"/>
          <w:szCs w:val="24"/>
        </w:rPr>
        <w:t>May</w:t>
      </w:r>
      <w:r w:rsidR="004F20DE">
        <w:rPr>
          <w:rFonts w:ascii="Arial" w:hAnsi="Arial" w:cs="Arial"/>
          <w:sz w:val="24"/>
          <w:szCs w:val="24"/>
        </w:rPr>
        <w:t xml:space="preserve"> 5</w:t>
      </w:r>
      <w:r w:rsidR="00F32570">
        <w:rPr>
          <w:rFonts w:ascii="Arial" w:hAnsi="Arial" w:cs="Arial"/>
          <w:sz w:val="24"/>
          <w:szCs w:val="24"/>
        </w:rPr>
        <w:t>, 202</w:t>
      </w:r>
      <w:r w:rsidR="00A47E81">
        <w:rPr>
          <w:rFonts w:ascii="Arial" w:hAnsi="Arial" w:cs="Arial"/>
          <w:sz w:val="24"/>
          <w:szCs w:val="24"/>
        </w:rPr>
        <w:t>6</w:t>
      </w:r>
    </w:p>
    <w:p w14:paraId="5CD406BE" w14:textId="77777777" w:rsidR="0080466F" w:rsidRPr="00960269" w:rsidRDefault="0080466F" w:rsidP="00706BB9">
      <w:pPr>
        <w:spacing w:after="0" w:line="240" w:lineRule="auto"/>
        <w:jc w:val="both"/>
        <w:rPr>
          <w:rFonts w:ascii="Arial" w:hAnsi="Arial" w:cs="Arial"/>
          <w:sz w:val="24"/>
          <w:szCs w:val="24"/>
        </w:rPr>
      </w:pPr>
    </w:p>
    <w:p w14:paraId="6D4D7EE1" w14:textId="77777777" w:rsidR="00213115" w:rsidRPr="003B6E3C" w:rsidRDefault="0080466F" w:rsidP="00213115">
      <w:pPr>
        <w:tabs>
          <w:tab w:val="left" w:pos="1440"/>
        </w:tabs>
        <w:spacing w:after="0" w:line="240" w:lineRule="auto"/>
        <w:ind w:left="1440" w:hanging="1440"/>
        <w:jc w:val="both"/>
        <w:rPr>
          <w:rFonts w:ascii="Arial" w:hAnsi="Arial" w:cs="Arial"/>
          <w:b/>
          <w:bCs/>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213115" w:rsidRPr="00213115">
        <w:rPr>
          <w:rFonts w:ascii="Arial" w:hAnsi="Arial" w:cs="Arial"/>
          <w:sz w:val="24"/>
          <w:szCs w:val="24"/>
        </w:rPr>
        <w:t xml:space="preserve">Quasi-Judicial Resolution Approving a Site Plan Level II Central Beach Development Permit for a Thirteen (13) Story, Fifty-four (54) Unit Multifamily Development Requesting  a Maximum Building Height of 144 Feet in the Intracoastal Overlook Area (IOA) Zoning District - Case No. UDP-S25037 - 623 Bayshore Dr, LLC. and 701 Bayshore Dr. LLC. - Opus at 701 - </w:t>
      </w:r>
      <w:r w:rsidR="00213115" w:rsidRPr="003B6E3C">
        <w:rPr>
          <w:rFonts w:ascii="Arial" w:hAnsi="Arial" w:cs="Arial"/>
          <w:b/>
          <w:bCs/>
          <w:sz w:val="24"/>
          <w:szCs w:val="24"/>
        </w:rPr>
        <w:t>(Commission District 2)</w:t>
      </w:r>
    </w:p>
    <w:p w14:paraId="52F2633F" w14:textId="77777777" w:rsidR="004A68BA" w:rsidRPr="002E26B5" w:rsidRDefault="004A68BA" w:rsidP="004A68BA">
      <w:pPr>
        <w:pBdr>
          <w:bottom w:val="single" w:sz="4" w:space="1" w:color="auto"/>
        </w:pBdr>
        <w:spacing w:after="0" w:line="240" w:lineRule="auto"/>
        <w:jc w:val="both"/>
        <w:rPr>
          <w:rFonts w:ascii="Arial" w:hAnsi="Arial" w:cs="Arial"/>
          <w:color w:val="FF0000"/>
          <w:sz w:val="24"/>
          <w:szCs w:val="24"/>
        </w:rPr>
      </w:pPr>
    </w:p>
    <w:p w14:paraId="51096643" w14:textId="77777777" w:rsidR="00213115" w:rsidRPr="00213115" w:rsidRDefault="00213115" w:rsidP="004A68BA">
      <w:pPr>
        <w:tabs>
          <w:tab w:val="left" w:pos="1440"/>
        </w:tabs>
        <w:spacing w:after="0" w:line="240" w:lineRule="auto"/>
        <w:jc w:val="both"/>
        <w:rPr>
          <w:rFonts w:ascii="Arial" w:hAnsi="Arial" w:cs="Arial"/>
          <w:sz w:val="24"/>
          <w:szCs w:val="24"/>
        </w:rPr>
      </w:pPr>
    </w:p>
    <w:p w14:paraId="511741E4" w14:textId="74AB9047" w:rsidR="007A16E0" w:rsidRPr="00960269" w:rsidRDefault="007A16E0" w:rsidP="00706BB9">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4C651F88" w14:textId="32B0ECC0" w:rsidR="00E47FE8" w:rsidRDefault="00522859" w:rsidP="00706BB9">
      <w:pPr>
        <w:spacing w:after="0" w:line="240" w:lineRule="auto"/>
        <w:jc w:val="both"/>
        <w:rPr>
          <w:rFonts w:ascii="Arial" w:hAnsi="Arial" w:cs="Arial"/>
          <w:iCs/>
          <w:spacing w:val="-1"/>
          <w:sz w:val="24"/>
          <w:szCs w:val="24"/>
        </w:rPr>
      </w:pPr>
      <w:r w:rsidRPr="00522859">
        <w:rPr>
          <w:rFonts w:ascii="Arial" w:hAnsi="Arial" w:cs="Arial"/>
          <w:iCs/>
          <w:spacing w:val="-1"/>
          <w:sz w:val="24"/>
          <w:szCs w:val="24"/>
        </w:rPr>
        <w:t xml:space="preserve">Staff recommends the City Commission </w:t>
      </w:r>
      <w:r w:rsidR="00C1635E">
        <w:rPr>
          <w:rFonts w:ascii="Arial" w:hAnsi="Arial" w:cs="Arial"/>
          <w:iCs/>
          <w:spacing w:val="-1"/>
          <w:sz w:val="24"/>
          <w:szCs w:val="24"/>
        </w:rPr>
        <w:t xml:space="preserve">consider </w:t>
      </w:r>
      <w:r w:rsidRPr="00522859">
        <w:rPr>
          <w:rFonts w:ascii="Arial" w:hAnsi="Arial" w:cs="Arial"/>
          <w:iCs/>
          <w:spacing w:val="-1"/>
          <w:sz w:val="24"/>
          <w:szCs w:val="24"/>
        </w:rPr>
        <w:t xml:space="preserve">a resolution </w:t>
      </w:r>
      <w:r w:rsidR="001A7C99">
        <w:rPr>
          <w:rFonts w:ascii="Arial" w:hAnsi="Arial" w:cs="Arial"/>
          <w:iCs/>
          <w:spacing w:val="-1"/>
          <w:sz w:val="24"/>
          <w:szCs w:val="24"/>
        </w:rPr>
        <w:t>for</w:t>
      </w:r>
      <w:r w:rsidRPr="00522859">
        <w:rPr>
          <w:rFonts w:ascii="Arial" w:hAnsi="Arial" w:cs="Arial"/>
          <w:iCs/>
          <w:spacing w:val="-1"/>
          <w:sz w:val="24"/>
          <w:szCs w:val="24"/>
        </w:rPr>
        <w:t xml:space="preserve"> a Site Plan Level I</w:t>
      </w:r>
      <w:r w:rsidR="00F039CD">
        <w:rPr>
          <w:rFonts w:ascii="Arial" w:hAnsi="Arial" w:cs="Arial"/>
          <w:iCs/>
          <w:spacing w:val="-1"/>
          <w:sz w:val="24"/>
          <w:szCs w:val="24"/>
        </w:rPr>
        <w:t>I</w:t>
      </w:r>
      <w:r w:rsidRPr="00522859">
        <w:rPr>
          <w:rFonts w:ascii="Arial" w:hAnsi="Arial" w:cs="Arial"/>
          <w:iCs/>
          <w:spacing w:val="-1"/>
          <w:sz w:val="24"/>
          <w:szCs w:val="24"/>
        </w:rPr>
        <w:t xml:space="preserve"> </w:t>
      </w:r>
      <w:r w:rsidR="00CC0777">
        <w:rPr>
          <w:rFonts w:ascii="Arial" w:hAnsi="Arial" w:cs="Arial"/>
          <w:iCs/>
          <w:spacing w:val="-1"/>
          <w:sz w:val="24"/>
          <w:szCs w:val="24"/>
        </w:rPr>
        <w:t>d</w:t>
      </w:r>
      <w:r w:rsidR="00CC0777" w:rsidRPr="00522859">
        <w:rPr>
          <w:rFonts w:ascii="Arial" w:hAnsi="Arial" w:cs="Arial"/>
          <w:iCs/>
          <w:spacing w:val="-1"/>
          <w:sz w:val="24"/>
          <w:szCs w:val="24"/>
        </w:rPr>
        <w:t xml:space="preserve">evelopment </w:t>
      </w:r>
      <w:r w:rsidR="00CC0777">
        <w:rPr>
          <w:rFonts w:ascii="Arial" w:hAnsi="Arial" w:cs="Arial"/>
          <w:iCs/>
          <w:spacing w:val="-1"/>
          <w:sz w:val="24"/>
          <w:szCs w:val="24"/>
        </w:rPr>
        <w:t>p</w:t>
      </w:r>
      <w:r w:rsidR="00CC0777" w:rsidRPr="00522859">
        <w:rPr>
          <w:rFonts w:ascii="Arial" w:hAnsi="Arial" w:cs="Arial"/>
          <w:iCs/>
          <w:spacing w:val="-1"/>
          <w:sz w:val="24"/>
          <w:szCs w:val="24"/>
        </w:rPr>
        <w:t xml:space="preserve">ermit </w:t>
      </w:r>
      <w:r w:rsidRPr="00522859">
        <w:rPr>
          <w:rFonts w:ascii="Arial" w:hAnsi="Arial" w:cs="Arial"/>
          <w:iCs/>
          <w:spacing w:val="-1"/>
          <w:sz w:val="24"/>
          <w:szCs w:val="24"/>
        </w:rPr>
        <w:t xml:space="preserve">for </w:t>
      </w:r>
      <w:r w:rsidR="00386F08">
        <w:rPr>
          <w:rFonts w:ascii="Arial" w:hAnsi="Arial" w:cs="Arial"/>
          <w:iCs/>
          <w:spacing w:val="-1"/>
          <w:sz w:val="24"/>
          <w:szCs w:val="24"/>
        </w:rPr>
        <w:t xml:space="preserve">a </w:t>
      </w:r>
      <w:r w:rsidR="00920C9F">
        <w:rPr>
          <w:rFonts w:ascii="Arial" w:hAnsi="Arial" w:cs="Arial"/>
          <w:iCs/>
          <w:spacing w:val="-1"/>
          <w:sz w:val="24"/>
          <w:szCs w:val="24"/>
        </w:rPr>
        <w:t>t</w:t>
      </w:r>
      <w:r w:rsidR="00920C9F" w:rsidRPr="00F039CD">
        <w:rPr>
          <w:rFonts w:ascii="Arial" w:hAnsi="Arial" w:cs="Arial"/>
          <w:iCs/>
          <w:spacing w:val="-1"/>
          <w:sz w:val="24"/>
          <w:szCs w:val="24"/>
        </w:rPr>
        <w:t xml:space="preserve">hirteen </w:t>
      </w:r>
      <w:r w:rsidR="00F039CD" w:rsidRPr="00F039CD">
        <w:rPr>
          <w:rFonts w:ascii="Arial" w:hAnsi="Arial" w:cs="Arial"/>
          <w:iCs/>
          <w:spacing w:val="-1"/>
          <w:sz w:val="24"/>
          <w:szCs w:val="24"/>
        </w:rPr>
        <w:t>(13)</w:t>
      </w:r>
      <w:r w:rsidR="00A53F43">
        <w:rPr>
          <w:rFonts w:ascii="Arial" w:hAnsi="Arial" w:cs="Arial"/>
          <w:iCs/>
          <w:spacing w:val="-1"/>
          <w:sz w:val="24"/>
          <w:szCs w:val="24"/>
        </w:rPr>
        <w:t xml:space="preserve"> </w:t>
      </w:r>
      <w:r w:rsidR="00920C9F">
        <w:rPr>
          <w:rFonts w:ascii="Arial" w:hAnsi="Arial" w:cs="Arial"/>
          <w:iCs/>
          <w:spacing w:val="-1"/>
          <w:sz w:val="24"/>
          <w:szCs w:val="24"/>
        </w:rPr>
        <w:t>s</w:t>
      </w:r>
      <w:r w:rsidR="00920C9F" w:rsidRPr="00F039CD">
        <w:rPr>
          <w:rFonts w:ascii="Arial" w:hAnsi="Arial" w:cs="Arial"/>
          <w:iCs/>
          <w:spacing w:val="-1"/>
          <w:sz w:val="24"/>
          <w:szCs w:val="24"/>
        </w:rPr>
        <w:t>tory</w:t>
      </w:r>
      <w:r w:rsidR="00F039CD" w:rsidRPr="00F039CD">
        <w:rPr>
          <w:rFonts w:ascii="Arial" w:hAnsi="Arial" w:cs="Arial"/>
          <w:iCs/>
          <w:spacing w:val="-1"/>
          <w:sz w:val="24"/>
          <w:szCs w:val="24"/>
        </w:rPr>
        <w:t xml:space="preserve">, </w:t>
      </w:r>
      <w:r w:rsidR="00920C9F">
        <w:rPr>
          <w:rFonts w:ascii="Arial" w:hAnsi="Arial" w:cs="Arial"/>
          <w:iCs/>
          <w:spacing w:val="-1"/>
          <w:sz w:val="24"/>
          <w:szCs w:val="24"/>
        </w:rPr>
        <w:t>f</w:t>
      </w:r>
      <w:r w:rsidR="00920C9F" w:rsidRPr="00F039CD">
        <w:rPr>
          <w:rFonts w:ascii="Arial" w:hAnsi="Arial" w:cs="Arial"/>
          <w:iCs/>
          <w:spacing w:val="-1"/>
          <w:sz w:val="24"/>
          <w:szCs w:val="24"/>
        </w:rPr>
        <w:t>ifty</w:t>
      </w:r>
      <w:r w:rsidR="00F039CD" w:rsidRPr="00F039CD">
        <w:rPr>
          <w:rFonts w:ascii="Arial" w:hAnsi="Arial" w:cs="Arial"/>
          <w:iCs/>
          <w:spacing w:val="-1"/>
          <w:sz w:val="24"/>
          <w:szCs w:val="24"/>
        </w:rPr>
        <w:t>-four (54)</w:t>
      </w:r>
      <w:r w:rsidR="003043B4">
        <w:rPr>
          <w:rFonts w:ascii="Arial" w:hAnsi="Arial" w:cs="Arial"/>
          <w:iCs/>
          <w:spacing w:val="-1"/>
          <w:sz w:val="24"/>
          <w:szCs w:val="24"/>
        </w:rPr>
        <w:t xml:space="preserve"> </w:t>
      </w:r>
      <w:r w:rsidR="00F039CD" w:rsidRPr="00F039CD">
        <w:rPr>
          <w:rFonts w:ascii="Arial" w:hAnsi="Arial" w:cs="Arial"/>
          <w:iCs/>
          <w:spacing w:val="-1"/>
          <w:sz w:val="24"/>
          <w:szCs w:val="24"/>
        </w:rPr>
        <w:t xml:space="preserve">unit </w:t>
      </w:r>
      <w:r w:rsidR="005574F1">
        <w:rPr>
          <w:rFonts w:ascii="Arial" w:hAnsi="Arial" w:cs="Arial"/>
          <w:iCs/>
          <w:spacing w:val="-1"/>
          <w:sz w:val="24"/>
          <w:szCs w:val="24"/>
        </w:rPr>
        <w:t>m</w:t>
      </w:r>
      <w:r w:rsidR="005574F1" w:rsidRPr="00F039CD">
        <w:rPr>
          <w:rFonts w:ascii="Arial" w:hAnsi="Arial" w:cs="Arial"/>
          <w:iCs/>
          <w:spacing w:val="-1"/>
          <w:sz w:val="24"/>
          <w:szCs w:val="24"/>
        </w:rPr>
        <w:t xml:space="preserve">ultifamily </w:t>
      </w:r>
      <w:r w:rsidR="005574F1">
        <w:rPr>
          <w:rFonts w:ascii="Arial" w:hAnsi="Arial" w:cs="Arial"/>
          <w:iCs/>
          <w:spacing w:val="-1"/>
          <w:sz w:val="24"/>
          <w:szCs w:val="24"/>
        </w:rPr>
        <w:t>d</w:t>
      </w:r>
      <w:r w:rsidR="005574F1" w:rsidRPr="00F039CD">
        <w:rPr>
          <w:rFonts w:ascii="Arial" w:hAnsi="Arial" w:cs="Arial"/>
          <w:iCs/>
          <w:spacing w:val="-1"/>
          <w:sz w:val="24"/>
          <w:szCs w:val="24"/>
        </w:rPr>
        <w:t xml:space="preserve">evelopment </w:t>
      </w:r>
      <w:r w:rsidR="00B93817">
        <w:rPr>
          <w:rFonts w:ascii="Arial" w:hAnsi="Arial" w:cs="Arial"/>
          <w:iCs/>
          <w:spacing w:val="-1"/>
          <w:sz w:val="24"/>
          <w:szCs w:val="24"/>
        </w:rPr>
        <w:t xml:space="preserve">with a </w:t>
      </w:r>
      <w:r w:rsidR="005574F1">
        <w:rPr>
          <w:rFonts w:ascii="Arial" w:hAnsi="Arial" w:cs="Arial"/>
          <w:iCs/>
          <w:spacing w:val="-1"/>
          <w:sz w:val="24"/>
          <w:szCs w:val="24"/>
        </w:rPr>
        <w:t>r</w:t>
      </w:r>
      <w:r w:rsidR="005574F1" w:rsidRPr="00F039CD">
        <w:rPr>
          <w:rFonts w:ascii="Arial" w:hAnsi="Arial" w:cs="Arial"/>
          <w:iCs/>
          <w:spacing w:val="-1"/>
          <w:sz w:val="24"/>
          <w:szCs w:val="24"/>
        </w:rPr>
        <w:t>equest</w:t>
      </w:r>
      <w:r w:rsidR="00B93817">
        <w:rPr>
          <w:rFonts w:ascii="Arial" w:hAnsi="Arial" w:cs="Arial"/>
          <w:iCs/>
          <w:spacing w:val="-1"/>
          <w:sz w:val="24"/>
          <w:szCs w:val="24"/>
        </w:rPr>
        <w:t xml:space="preserve"> for</w:t>
      </w:r>
      <w:r w:rsidR="005574F1" w:rsidRPr="00F039CD">
        <w:rPr>
          <w:rFonts w:ascii="Arial" w:hAnsi="Arial" w:cs="Arial"/>
          <w:iCs/>
          <w:spacing w:val="-1"/>
          <w:sz w:val="24"/>
          <w:szCs w:val="24"/>
        </w:rPr>
        <w:t xml:space="preserve"> </w:t>
      </w:r>
      <w:r w:rsidR="005574F1">
        <w:rPr>
          <w:rFonts w:ascii="Arial" w:hAnsi="Arial" w:cs="Arial"/>
          <w:iCs/>
          <w:spacing w:val="-1"/>
          <w:sz w:val="24"/>
          <w:szCs w:val="24"/>
        </w:rPr>
        <w:t>a</w:t>
      </w:r>
      <w:r w:rsidR="005574F1" w:rsidRPr="00F039CD">
        <w:rPr>
          <w:rFonts w:ascii="Arial" w:hAnsi="Arial" w:cs="Arial"/>
          <w:iCs/>
          <w:spacing w:val="-1"/>
          <w:sz w:val="24"/>
          <w:szCs w:val="24"/>
        </w:rPr>
        <w:t xml:space="preserve">dditional </w:t>
      </w:r>
      <w:r w:rsidR="00F039CD" w:rsidRPr="00F039CD">
        <w:rPr>
          <w:rFonts w:ascii="Arial" w:hAnsi="Arial" w:cs="Arial"/>
          <w:iCs/>
          <w:spacing w:val="-1"/>
          <w:sz w:val="24"/>
          <w:szCs w:val="24"/>
        </w:rPr>
        <w:t xml:space="preserve">height above 120 </w:t>
      </w:r>
      <w:r w:rsidR="00CC0777">
        <w:rPr>
          <w:rFonts w:ascii="Arial" w:hAnsi="Arial" w:cs="Arial"/>
          <w:iCs/>
          <w:spacing w:val="-1"/>
          <w:sz w:val="24"/>
          <w:szCs w:val="24"/>
        </w:rPr>
        <w:t>f</w:t>
      </w:r>
      <w:r w:rsidR="00CC0777" w:rsidRPr="00F039CD">
        <w:rPr>
          <w:rFonts w:ascii="Arial" w:hAnsi="Arial" w:cs="Arial"/>
          <w:iCs/>
          <w:spacing w:val="-1"/>
          <w:sz w:val="24"/>
          <w:szCs w:val="24"/>
        </w:rPr>
        <w:t xml:space="preserve">eet </w:t>
      </w:r>
      <w:r w:rsidR="00BF0DB8">
        <w:rPr>
          <w:rFonts w:ascii="Arial" w:hAnsi="Arial" w:cs="Arial"/>
          <w:iCs/>
          <w:spacing w:val="-1"/>
          <w:sz w:val="24"/>
          <w:szCs w:val="24"/>
        </w:rPr>
        <w:t xml:space="preserve">located at </w:t>
      </w:r>
      <w:r w:rsidR="00DE3DA1">
        <w:rPr>
          <w:rFonts w:ascii="Arial" w:hAnsi="Arial" w:cs="Arial"/>
          <w:iCs/>
          <w:spacing w:val="-1"/>
          <w:sz w:val="24"/>
          <w:szCs w:val="24"/>
        </w:rPr>
        <w:t xml:space="preserve">701 </w:t>
      </w:r>
      <w:r w:rsidR="00D42DC8">
        <w:rPr>
          <w:rFonts w:ascii="Arial" w:hAnsi="Arial" w:cs="Arial"/>
          <w:iCs/>
          <w:spacing w:val="-1"/>
          <w:sz w:val="24"/>
          <w:szCs w:val="24"/>
        </w:rPr>
        <w:t>Bayshore Drive</w:t>
      </w:r>
      <w:r w:rsidR="00BF0DB8">
        <w:rPr>
          <w:rFonts w:ascii="Arial" w:hAnsi="Arial" w:cs="Arial"/>
          <w:iCs/>
          <w:spacing w:val="-1"/>
          <w:sz w:val="24"/>
          <w:szCs w:val="24"/>
        </w:rPr>
        <w:t xml:space="preserve">. </w:t>
      </w:r>
    </w:p>
    <w:p w14:paraId="02097DEB" w14:textId="77777777" w:rsidR="00522859" w:rsidRPr="00195D42" w:rsidRDefault="00522859" w:rsidP="00706BB9">
      <w:pPr>
        <w:spacing w:after="0" w:line="240" w:lineRule="auto"/>
        <w:jc w:val="both"/>
        <w:rPr>
          <w:rFonts w:ascii="Arial" w:hAnsi="Arial" w:cs="Arial"/>
          <w:iCs/>
          <w:color w:val="FF0000"/>
          <w:spacing w:val="-1"/>
          <w:sz w:val="24"/>
          <w:szCs w:val="24"/>
        </w:rPr>
      </w:pPr>
    </w:p>
    <w:p w14:paraId="5E778A3B" w14:textId="77777777" w:rsidR="007A16E0" w:rsidRPr="0038099C" w:rsidRDefault="007A16E0" w:rsidP="00706BB9">
      <w:pPr>
        <w:spacing w:after="0" w:line="240" w:lineRule="auto"/>
        <w:jc w:val="both"/>
        <w:rPr>
          <w:rFonts w:ascii="Arial" w:hAnsi="Arial" w:cs="Arial"/>
          <w:iCs/>
          <w:spacing w:val="-1"/>
          <w:sz w:val="24"/>
          <w:szCs w:val="24"/>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53FD13B9" w14:textId="0F0382AA" w:rsidR="00C21ED0" w:rsidRPr="00C21ED0" w:rsidRDefault="00304ED7" w:rsidP="00C614EA">
      <w:pPr>
        <w:spacing w:after="0" w:line="240" w:lineRule="auto"/>
        <w:jc w:val="both"/>
        <w:rPr>
          <w:rFonts w:ascii="Arial" w:hAnsi="Arial" w:cs="Arial"/>
          <w:iCs/>
          <w:spacing w:val="-1"/>
          <w:sz w:val="24"/>
          <w:szCs w:val="24"/>
        </w:rPr>
      </w:pPr>
      <w:r>
        <w:rPr>
          <w:rFonts w:ascii="Arial" w:hAnsi="Arial" w:cs="Arial"/>
          <w:iCs/>
          <w:spacing w:val="-1"/>
          <w:sz w:val="24"/>
          <w:szCs w:val="24"/>
        </w:rPr>
        <w:t xml:space="preserve">The subject site is located </w:t>
      </w:r>
      <w:r w:rsidR="00654A52">
        <w:rPr>
          <w:rFonts w:ascii="Arial" w:hAnsi="Arial" w:cs="Arial"/>
          <w:iCs/>
          <w:spacing w:val="-1"/>
          <w:sz w:val="24"/>
          <w:szCs w:val="24"/>
        </w:rPr>
        <w:t xml:space="preserve">between the Intracoastal </w:t>
      </w:r>
      <w:r w:rsidR="00D5105F">
        <w:rPr>
          <w:rFonts w:ascii="Arial" w:hAnsi="Arial" w:cs="Arial"/>
          <w:iCs/>
          <w:spacing w:val="-1"/>
          <w:sz w:val="24"/>
          <w:szCs w:val="24"/>
        </w:rPr>
        <w:t xml:space="preserve">Waterway </w:t>
      </w:r>
      <w:r w:rsidR="00654A52">
        <w:rPr>
          <w:rFonts w:ascii="Arial" w:hAnsi="Arial" w:cs="Arial"/>
          <w:iCs/>
          <w:spacing w:val="-1"/>
          <w:sz w:val="24"/>
          <w:szCs w:val="24"/>
        </w:rPr>
        <w:t>and</w:t>
      </w:r>
      <w:r w:rsidR="00991536">
        <w:rPr>
          <w:rFonts w:ascii="Arial" w:hAnsi="Arial" w:cs="Arial"/>
          <w:iCs/>
          <w:spacing w:val="-1"/>
          <w:sz w:val="24"/>
          <w:szCs w:val="24"/>
        </w:rPr>
        <w:t xml:space="preserve"> Bayshore Drive</w:t>
      </w:r>
      <w:r w:rsidR="006827A5">
        <w:rPr>
          <w:rFonts w:ascii="Arial" w:hAnsi="Arial" w:cs="Arial"/>
          <w:iCs/>
          <w:spacing w:val="-1"/>
          <w:sz w:val="24"/>
          <w:szCs w:val="24"/>
        </w:rPr>
        <w:t xml:space="preserve">. </w:t>
      </w:r>
      <w:r w:rsidR="00C614EA">
        <w:rPr>
          <w:rFonts w:ascii="Arial" w:hAnsi="Arial" w:cs="Arial"/>
          <w:iCs/>
          <w:spacing w:val="-1"/>
          <w:sz w:val="24"/>
          <w:szCs w:val="24"/>
        </w:rPr>
        <w:t>The property is zoned Intracoastal Overlook Area District (IOA) and has a future land use designation of</w:t>
      </w:r>
      <w:r w:rsidR="00C614EA" w:rsidRPr="00F039CD">
        <w:rPr>
          <w:rFonts w:ascii="Arial" w:hAnsi="Arial" w:cs="Arial"/>
          <w:iCs/>
          <w:spacing w:val="-1"/>
          <w:sz w:val="24"/>
          <w:szCs w:val="24"/>
        </w:rPr>
        <w:t xml:space="preserve"> the Central Beach Regional Activity Center</w:t>
      </w:r>
      <w:r w:rsidR="00C614EA">
        <w:rPr>
          <w:rFonts w:ascii="Arial" w:hAnsi="Arial" w:cs="Arial"/>
          <w:iCs/>
          <w:spacing w:val="-1"/>
          <w:sz w:val="24"/>
          <w:szCs w:val="24"/>
        </w:rPr>
        <w:t xml:space="preserve"> (Central Beach RAC). </w:t>
      </w:r>
      <w:r w:rsidR="00C21ED0" w:rsidRPr="000F0F36">
        <w:rPr>
          <w:rFonts w:ascii="Arial" w:hAnsi="Arial" w:cs="Arial"/>
          <w:sz w:val="24"/>
          <w:szCs w:val="24"/>
        </w:rPr>
        <w:t xml:space="preserve">A location map is provided as Exhibit 1. The application and </w:t>
      </w:r>
      <w:r w:rsidR="007B76B7">
        <w:rPr>
          <w:rFonts w:ascii="Arial" w:hAnsi="Arial" w:cs="Arial"/>
          <w:sz w:val="24"/>
          <w:szCs w:val="24"/>
        </w:rPr>
        <w:t xml:space="preserve">project </w:t>
      </w:r>
      <w:r w:rsidR="00C21ED0" w:rsidRPr="000F0F36">
        <w:rPr>
          <w:rFonts w:ascii="Arial" w:hAnsi="Arial" w:cs="Arial"/>
          <w:sz w:val="24"/>
          <w:szCs w:val="24"/>
        </w:rPr>
        <w:t>narrative</w:t>
      </w:r>
      <w:r w:rsidR="007B76B7">
        <w:rPr>
          <w:rFonts w:ascii="Arial" w:hAnsi="Arial" w:cs="Arial"/>
          <w:sz w:val="24"/>
          <w:szCs w:val="24"/>
        </w:rPr>
        <w:t>s</w:t>
      </w:r>
      <w:r w:rsidR="00C21ED0" w:rsidRPr="000F0F36">
        <w:rPr>
          <w:rFonts w:ascii="Arial" w:hAnsi="Arial" w:cs="Arial"/>
          <w:sz w:val="24"/>
          <w:szCs w:val="24"/>
        </w:rPr>
        <w:t xml:space="preserve"> are provided as Exhibit 2. </w:t>
      </w:r>
      <w:r w:rsidR="007B76B7">
        <w:rPr>
          <w:rFonts w:ascii="Arial" w:hAnsi="Arial" w:cs="Arial"/>
          <w:sz w:val="24"/>
          <w:szCs w:val="24"/>
        </w:rPr>
        <w:t>The site plan set is attached as Exhibit 3.</w:t>
      </w:r>
    </w:p>
    <w:p w14:paraId="2EEA7C5F" w14:textId="77777777" w:rsidR="00C21ED0" w:rsidRDefault="00C21ED0" w:rsidP="00C21ED0">
      <w:pPr>
        <w:widowControl/>
        <w:autoSpaceDE w:val="0"/>
        <w:autoSpaceDN w:val="0"/>
        <w:adjustRightInd w:val="0"/>
        <w:spacing w:after="0" w:line="240" w:lineRule="auto"/>
        <w:jc w:val="both"/>
        <w:rPr>
          <w:rFonts w:ascii="Arial" w:hAnsi="Arial" w:cs="Arial"/>
          <w:sz w:val="24"/>
          <w:szCs w:val="24"/>
        </w:rPr>
      </w:pPr>
    </w:p>
    <w:p w14:paraId="74B20C05" w14:textId="750DF30F" w:rsidR="00C21ED0" w:rsidRDefault="00C21ED0" w:rsidP="00C21ED0">
      <w:pPr>
        <w:widowControl/>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proposed project was reviewed by the Development Review Committee (DRC) on October 14, 2025. The DRC comment report with applicants’ responses is attached as Exhibit </w:t>
      </w:r>
      <w:r w:rsidR="007B76B7">
        <w:rPr>
          <w:rFonts w:ascii="Arial" w:hAnsi="Arial" w:cs="Arial"/>
          <w:sz w:val="24"/>
          <w:szCs w:val="24"/>
        </w:rPr>
        <w:t>4</w:t>
      </w:r>
      <w:r>
        <w:rPr>
          <w:rFonts w:ascii="Arial" w:hAnsi="Arial" w:cs="Arial"/>
          <w:sz w:val="24"/>
          <w:szCs w:val="24"/>
        </w:rPr>
        <w:t xml:space="preserve">. </w:t>
      </w:r>
    </w:p>
    <w:p w14:paraId="407141FB" w14:textId="77777777" w:rsidR="00C21ED0" w:rsidRPr="00602FD1" w:rsidRDefault="00C21ED0" w:rsidP="004972BE">
      <w:pPr>
        <w:widowControl/>
        <w:autoSpaceDE w:val="0"/>
        <w:autoSpaceDN w:val="0"/>
        <w:adjustRightInd w:val="0"/>
        <w:spacing w:after="0" w:line="240" w:lineRule="auto"/>
        <w:jc w:val="both"/>
        <w:rPr>
          <w:rFonts w:ascii="Arial" w:hAnsi="Arial" w:cs="Arial"/>
          <w:iCs/>
          <w:spacing w:val="-1"/>
          <w:sz w:val="24"/>
          <w:szCs w:val="24"/>
        </w:rPr>
      </w:pPr>
    </w:p>
    <w:p w14:paraId="57035FBB" w14:textId="77777777" w:rsidR="00A7549E" w:rsidRPr="00D1260C" w:rsidRDefault="00A7549E" w:rsidP="00A7549E">
      <w:pPr>
        <w:pStyle w:val="p1"/>
        <w:spacing w:before="0" w:beforeAutospacing="0" w:after="0" w:afterAutospacing="0"/>
        <w:rPr>
          <w:rStyle w:val="s1"/>
          <w:rFonts w:ascii="Arial" w:hAnsi="Arial" w:cs="Arial"/>
          <w:b/>
          <w:bCs/>
          <w:sz w:val="24"/>
          <w:szCs w:val="24"/>
          <w:u w:val="single"/>
        </w:rPr>
      </w:pPr>
      <w:r w:rsidRPr="00D1260C">
        <w:rPr>
          <w:rStyle w:val="s1"/>
          <w:rFonts w:ascii="Arial" w:hAnsi="Arial" w:cs="Arial"/>
          <w:b/>
          <w:bCs/>
          <w:sz w:val="24"/>
          <w:szCs w:val="24"/>
          <w:u w:val="single"/>
        </w:rPr>
        <w:t xml:space="preserve">Central Beach District Requirements </w:t>
      </w:r>
    </w:p>
    <w:p w14:paraId="16ED6251" w14:textId="38BAFFA9" w:rsidR="00E65EEC" w:rsidRDefault="00517CE2" w:rsidP="0021547E">
      <w:pPr>
        <w:pStyle w:val="p1"/>
        <w:spacing w:before="0" w:beforeAutospacing="0" w:after="0" w:afterAutospacing="0"/>
        <w:jc w:val="both"/>
        <w:rPr>
          <w:rStyle w:val="s2"/>
          <w:rFonts w:ascii="Arial" w:hAnsi="Arial" w:cs="Arial"/>
          <w:sz w:val="24"/>
          <w:szCs w:val="24"/>
        </w:rPr>
      </w:pPr>
      <w:r>
        <w:rPr>
          <w:rFonts w:ascii="Arial" w:hAnsi="Arial" w:cs="Arial"/>
          <w:sz w:val="24"/>
          <w:szCs w:val="24"/>
        </w:rPr>
        <w:t xml:space="preserve">Pursuant to the </w:t>
      </w:r>
      <w:r w:rsidR="00E0119C" w:rsidRPr="00E0119C">
        <w:rPr>
          <w:rFonts w:ascii="Arial" w:hAnsi="Arial" w:cs="Arial"/>
          <w:sz w:val="24"/>
          <w:szCs w:val="24"/>
        </w:rPr>
        <w:t>U</w:t>
      </w:r>
      <w:r w:rsidR="00E0119C">
        <w:rPr>
          <w:rFonts w:ascii="Arial" w:hAnsi="Arial" w:cs="Arial"/>
          <w:sz w:val="24"/>
          <w:szCs w:val="24"/>
        </w:rPr>
        <w:t xml:space="preserve">nified </w:t>
      </w:r>
      <w:r w:rsidR="00E0119C" w:rsidRPr="00E0119C">
        <w:rPr>
          <w:rFonts w:ascii="Arial" w:hAnsi="Arial" w:cs="Arial"/>
          <w:sz w:val="24"/>
          <w:szCs w:val="24"/>
        </w:rPr>
        <w:t>L</w:t>
      </w:r>
      <w:r w:rsidR="00E0119C">
        <w:rPr>
          <w:rFonts w:ascii="Arial" w:hAnsi="Arial" w:cs="Arial"/>
          <w:sz w:val="24"/>
          <w:szCs w:val="24"/>
        </w:rPr>
        <w:t xml:space="preserve">and </w:t>
      </w:r>
      <w:r w:rsidR="00E0119C" w:rsidRPr="00E0119C">
        <w:rPr>
          <w:rFonts w:ascii="Arial" w:hAnsi="Arial" w:cs="Arial"/>
          <w:sz w:val="24"/>
          <w:szCs w:val="24"/>
        </w:rPr>
        <w:t>D</w:t>
      </w:r>
      <w:r w:rsidR="00E0119C">
        <w:rPr>
          <w:rFonts w:ascii="Arial" w:hAnsi="Arial" w:cs="Arial"/>
          <w:sz w:val="24"/>
          <w:szCs w:val="24"/>
        </w:rPr>
        <w:t xml:space="preserve">evelopment </w:t>
      </w:r>
      <w:r w:rsidR="00E0119C" w:rsidRPr="00E0119C">
        <w:rPr>
          <w:rFonts w:ascii="Arial" w:hAnsi="Arial" w:cs="Arial"/>
          <w:sz w:val="24"/>
          <w:szCs w:val="24"/>
        </w:rPr>
        <w:t>R</w:t>
      </w:r>
      <w:r w:rsidR="00E0119C">
        <w:rPr>
          <w:rFonts w:ascii="Arial" w:hAnsi="Arial" w:cs="Arial"/>
          <w:sz w:val="24"/>
          <w:szCs w:val="24"/>
        </w:rPr>
        <w:t>egulations (ULDR),</w:t>
      </w:r>
      <w:r w:rsidR="00E0119C" w:rsidRPr="00E0119C">
        <w:rPr>
          <w:rFonts w:ascii="Arial" w:hAnsi="Arial" w:cs="Arial"/>
          <w:sz w:val="24"/>
          <w:szCs w:val="24"/>
        </w:rPr>
        <w:t xml:space="preserve"> Section 47-12.6.A</w:t>
      </w:r>
      <w:r w:rsidR="007B3D3C">
        <w:rPr>
          <w:rFonts w:ascii="Arial" w:hAnsi="Arial" w:cs="Arial"/>
          <w:sz w:val="24"/>
          <w:szCs w:val="24"/>
        </w:rPr>
        <w:t xml:space="preserve">, </w:t>
      </w:r>
      <w:r w:rsidR="007B3D3C">
        <w:rPr>
          <w:rStyle w:val="s2"/>
          <w:rFonts w:ascii="Arial" w:hAnsi="Arial" w:cs="Arial"/>
          <w:sz w:val="24"/>
          <w:szCs w:val="24"/>
        </w:rPr>
        <w:t>Central Beach Development Permitting and Approval,</w:t>
      </w:r>
      <w:r w:rsidR="00E0119C" w:rsidRPr="00E0119C">
        <w:rPr>
          <w:rFonts w:ascii="Arial" w:hAnsi="Arial" w:cs="Arial"/>
          <w:sz w:val="24"/>
          <w:szCs w:val="24"/>
        </w:rPr>
        <w:t xml:space="preserve"> </w:t>
      </w:r>
      <w:r>
        <w:rPr>
          <w:rFonts w:ascii="Arial" w:hAnsi="Arial" w:cs="Arial"/>
          <w:sz w:val="24"/>
          <w:szCs w:val="24"/>
        </w:rPr>
        <w:t>i</w:t>
      </w:r>
      <w:r w:rsidR="00E0119C" w:rsidRPr="00E0119C">
        <w:rPr>
          <w:rFonts w:ascii="Arial" w:hAnsi="Arial" w:cs="Arial"/>
          <w:sz w:val="24"/>
          <w:szCs w:val="24"/>
        </w:rPr>
        <w:t>n addition to the criteria for review provided in Section 47-24 and Section 47-12, applications for development in the Central Beach Area zoning districts shall be subject to the design and community compatibility criteria provided in Section 47-25.3</w:t>
      </w:r>
      <w:r w:rsidR="006F1213">
        <w:rPr>
          <w:rFonts w:ascii="Arial" w:hAnsi="Arial" w:cs="Arial"/>
          <w:sz w:val="24"/>
          <w:szCs w:val="24"/>
        </w:rPr>
        <w:t>, Neighborhood Compatibility.</w:t>
      </w:r>
    </w:p>
    <w:p w14:paraId="0F62F980" w14:textId="77777777" w:rsidR="00E65EEC" w:rsidRDefault="00E65EEC" w:rsidP="0021547E">
      <w:pPr>
        <w:pStyle w:val="p1"/>
        <w:spacing w:before="0" w:beforeAutospacing="0" w:after="0" w:afterAutospacing="0"/>
        <w:jc w:val="both"/>
        <w:rPr>
          <w:rStyle w:val="s2"/>
          <w:rFonts w:ascii="Arial" w:hAnsi="Arial" w:cs="Arial"/>
          <w:sz w:val="24"/>
          <w:szCs w:val="24"/>
        </w:rPr>
      </w:pPr>
    </w:p>
    <w:p w14:paraId="4126E684" w14:textId="58F22997" w:rsidR="00AC2B66" w:rsidRDefault="0052442D" w:rsidP="0021547E">
      <w:pPr>
        <w:pStyle w:val="p1"/>
        <w:spacing w:before="0" w:beforeAutospacing="0" w:after="0" w:afterAutospacing="0"/>
        <w:jc w:val="both"/>
        <w:rPr>
          <w:rStyle w:val="s2"/>
          <w:rFonts w:ascii="Arial" w:hAnsi="Arial" w:cs="Arial"/>
          <w:sz w:val="24"/>
          <w:szCs w:val="24"/>
        </w:rPr>
      </w:pPr>
      <w:r w:rsidRPr="0052442D">
        <w:rPr>
          <w:rFonts w:ascii="Arial" w:hAnsi="Arial" w:cs="Arial"/>
          <w:sz w:val="24"/>
          <w:szCs w:val="24"/>
        </w:rPr>
        <w:t xml:space="preserve">ULDR, Section 47-12.5.F, Central Beach District Requirements and Limitations, states that a beach development permit may be issued for a development with a height that exceeds the maximum building height as provided in Section 47-12.4.1 up to twenty </w:t>
      </w:r>
      <w:r w:rsidRPr="0052442D">
        <w:rPr>
          <w:rFonts w:ascii="Arial" w:hAnsi="Arial" w:cs="Arial"/>
          <w:sz w:val="24"/>
          <w:szCs w:val="24"/>
        </w:rPr>
        <w:lastRenderedPageBreak/>
        <w:t>percent (20%) but not exceeding a height of 144 feet, provided that the structure has a maximum floorplate of 16,000 square feet and is approved by the City Commission.  Pursuant to section 47-12.4.1, the maximum height in the IOA zoning district is 120 feet. A 20% increase over 120 feet is 144 feet which is also the maximum height as provided in Section 47-12.5.F</w:t>
      </w:r>
      <w:r w:rsidR="004A5CAF">
        <w:rPr>
          <w:rStyle w:val="s2"/>
          <w:rFonts w:ascii="Arial" w:hAnsi="Arial" w:cs="Arial"/>
          <w:sz w:val="24"/>
          <w:szCs w:val="24"/>
        </w:rPr>
        <w:t xml:space="preserve">. </w:t>
      </w:r>
    </w:p>
    <w:p w14:paraId="5E58582D" w14:textId="77777777" w:rsidR="00AC2B66" w:rsidRDefault="00AC2B66" w:rsidP="0021547E">
      <w:pPr>
        <w:pStyle w:val="p1"/>
        <w:spacing w:before="0" w:beforeAutospacing="0" w:after="0" w:afterAutospacing="0"/>
        <w:jc w:val="both"/>
        <w:rPr>
          <w:rStyle w:val="s2"/>
          <w:rFonts w:ascii="Arial" w:hAnsi="Arial" w:cs="Arial"/>
          <w:sz w:val="24"/>
          <w:szCs w:val="24"/>
        </w:rPr>
      </w:pPr>
    </w:p>
    <w:p w14:paraId="69AFF79D" w14:textId="0AB6C496" w:rsidR="00057244" w:rsidRPr="00DA62A9" w:rsidRDefault="00D62B78" w:rsidP="0021547E">
      <w:pPr>
        <w:pStyle w:val="p1"/>
        <w:spacing w:before="0" w:beforeAutospacing="0" w:after="0" w:afterAutospacing="0"/>
        <w:jc w:val="both"/>
        <w:rPr>
          <w:rFonts w:ascii="Arial" w:hAnsi="Arial" w:cs="Arial"/>
          <w:sz w:val="24"/>
          <w:szCs w:val="24"/>
        </w:rPr>
      </w:pPr>
      <w:r>
        <w:rPr>
          <w:rStyle w:val="s2"/>
          <w:rFonts w:ascii="Arial" w:hAnsi="Arial" w:cs="Arial"/>
          <w:sz w:val="24"/>
          <w:szCs w:val="24"/>
        </w:rPr>
        <w:t xml:space="preserve">The </w:t>
      </w:r>
      <w:r w:rsidR="00746139">
        <w:rPr>
          <w:rStyle w:val="s2"/>
          <w:rFonts w:ascii="Arial" w:hAnsi="Arial" w:cs="Arial"/>
          <w:sz w:val="24"/>
          <w:szCs w:val="24"/>
        </w:rPr>
        <w:t xml:space="preserve">proposed building </w:t>
      </w:r>
      <w:r w:rsidR="007015F9">
        <w:rPr>
          <w:rStyle w:val="s2"/>
          <w:rFonts w:ascii="Arial" w:hAnsi="Arial" w:cs="Arial"/>
          <w:sz w:val="24"/>
          <w:szCs w:val="24"/>
        </w:rPr>
        <w:t>has a 13,967</w:t>
      </w:r>
      <w:r w:rsidR="00F31EC9">
        <w:rPr>
          <w:rStyle w:val="s2"/>
          <w:rFonts w:ascii="Arial" w:hAnsi="Arial" w:cs="Arial"/>
          <w:sz w:val="24"/>
          <w:szCs w:val="24"/>
        </w:rPr>
        <w:t xml:space="preserve"> </w:t>
      </w:r>
      <w:r w:rsidR="007015F9">
        <w:rPr>
          <w:rStyle w:val="s2"/>
          <w:rFonts w:ascii="Arial" w:hAnsi="Arial" w:cs="Arial"/>
          <w:sz w:val="24"/>
          <w:szCs w:val="24"/>
        </w:rPr>
        <w:t xml:space="preserve">square-foot floorplate </w:t>
      </w:r>
      <w:r w:rsidR="001D058B">
        <w:rPr>
          <w:rStyle w:val="s2"/>
          <w:rFonts w:ascii="Arial" w:hAnsi="Arial" w:cs="Arial"/>
          <w:sz w:val="24"/>
          <w:szCs w:val="24"/>
        </w:rPr>
        <w:t xml:space="preserve">and </w:t>
      </w:r>
      <w:r w:rsidR="00F31EC9">
        <w:rPr>
          <w:rStyle w:val="s2"/>
          <w:rFonts w:ascii="Arial" w:hAnsi="Arial" w:cs="Arial"/>
          <w:sz w:val="24"/>
          <w:szCs w:val="24"/>
        </w:rPr>
        <w:t>a</w:t>
      </w:r>
      <w:r w:rsidR="00746139">
        <w:rPr>
          <w:rStyle w:val="s2"/>
          <w:rFonts w:ascii="Arial" w:hAnsi="Arial" w:cs="Arial"/>
          <w:sz w:val="24"/>
          <w:szCs w:val="24"/>
        </w:rPr>
        <w:t xml:space="preserve"> </w:t>
      </w:r>
      <w:r w:rsidR="00274A82">
        <w:rPr>
          <w:rStyle w:val="s2"/>
          <w:rFonts w:ascii="Arial" w:hAnsi="Arial" w:cs="Arial"/>
          <w:sz w:val="24"/>
          <w:szCs w:val="24"/>
        </w:rPr>
        <w:t xml:space="preserve">building </w:t>
      </w:r>
      <w:r w:rsidR="00746139">
        <w:rPr>
          <w:rStyle w:val="s2"/>
          <w:rFonts w:ascii="Arial" w:hAnsi="Arial" w:cs="Arial"/>
          <w:sz w:val="24"/>
          <w:szCs w:val="24"/>
        </w:rPr>
        <w:t>height</w:t>
      </w:r>
      <w:r w:rsidR="00274A82">
        <w:rPr>
          <w:rStyle w:val="s2"/>
          <w:rFonts w:ascii="Arial" w:hAnsi="Arial" w:cs="Arial"/>
          <w:sz w:val="24"/>
          <w:szCs w:val="24"/>
        </w:rPr>
        <w:t xml:space="preserve"> of 144 feet.</w:t>
      </w:r>
      <w:r w:rsidR="0021547E">
        <w:rPr>
          <w:rStyle w:val="s2"/>
          <w:rFonts w:ascii="Arial" w:hAnsi="Arial" w:cs="Arial"/>
          <w:sz w:val="24"/>
          <w:szCs w:val="24"/>
        </w:rPr>
        <w:t xml:space="preserve"> </w:t>
      </w:r>
      <w:r w:rsidR="00911820">
        <w:rPr>
          <w:rFonts w:ascii="Arial" w:hAnsi="Arial" w:cs="Arial"/>
          <w:sz w:val="24"/>
          <w:szCs w:val="24"/>
        </w:rPr>
        <w:t>The</w:t>
      </w:r>
      <w:r w:rsidR="00972AA5">
        <w:rPr>
          <w:rFonts w:ascii="Arial" w:hAnsi="Arial" w:cs="Arial"/>
          <w:sz w:val="24"/>
          <w:szCs w:val="24"/>
        </w:rPr>
        <w:t xml:space="preserve"> building height is appropriate in the context of the existing development and maintains compatibility of scale with neighboring properties. </w:t>
      </w:r>
      <w:r w:rsidR="00057244" w:rsidRPr="00DA62A9">
        <w:rPr>
          <w:rFonts w:ascii="Arial" w:hAnsi="Arial" w:cs="Arial"/>
          <w:sz w:val="24"/>
          <w:szCs w:val="24"/>
        </w:rPr>
        <w:t xml:space="preserve">Building heights in the immediate vicinity of the subject site range from </w:t>
      </w:r>
      <w:r w:rsidR="00057244">
        <w:rPr>
          <w:rFonts w:ascii="Arial" w:hAnsi="Arial" w:cs="Arial"/>
          <w:sz w:val="24"/>
          <w:szCs w:val="24"/>
        </w:rPr>
        <w:t>one (1)</w:t>
      </w:r>
      <w:r w:rsidR="00057244" w:rsidRPr="00DA62A9">
        <w:rPr>
          <w:rFonts w:ascii="Arial" w:hAnsi="Arial" w:cs="Arial"/>
          <w:sz w:val="24"/>
          <w:szCs w:val="24"/>
        </w:rPr>
        <w:t xml:space="preserve"> to </w:t>
      </w:r>
      <w:r w:rsidR="00057244">
        <w:rPr>
          <w:rFonts w:ascii="Arial" w:hAnsi="Arial" w:cs="Arial"/>
          <w:sz w:val="24"/>
          <w:szCs w:val="24"/>
        </w:rPr>
        <w:t>ten (10)</w:t>
      </w:r>
      <w:r w:rsidR="00057244" w:rsidRPr="00DA62A9">
        <w:rPr>
          <w:rFonts w:ascii="Arial" w:hAnsi="Arial" w:cs="Arial"/>
          <w:sz w:val="24"/>
          <w:szCs w:val="24"/>
        </w:rPr>
        <w:t xml:space="preserve"> stories. </w:t>
      </w:r>
      <w:r w:rsidR="00222FD7">
        <w:rPr>
          <w:rFonts w:ascii="Arial" w:hAnsi="Arial" w:cs="Arial"/>
          <w:sz w:val="24"/>
          <w:szCs w:val="24"/>
        </w:rPr>
        <w:t xml:space="preserve">To the </w:t>
      </w:r>
      <w:r w:rsidR="00057244" w:rsidRPr="00DA62A9">
        <w:rPr>
          <w:rFonts w:ascii="Arial" w:hAnsi="Arial" w:cs="Arial"/>
          <w:sz w:val="24"/>
          <w:szCs w:val="24"/>
        </w:rPr>
        <w:t xml:space="preserve">north of the proposed development is a </w:t>
      </w:r>
      <w:r w:rsidR="00057244">
        <w:rPr>
          <w:rFonts w:ascii="Arial" w:hAnsi="Arial" w:cs="Arial"/>
          <w:sz w:val="24"/>
          <w:szCs w:val="24"/>
        </w:rPr>
        <w:t>three (3)</w:t>
      </w:r>
      <w:r w:rsidR="00AC2B66">
        <w:rPr>
          <w:rFonts w:ascii="Arial" w:hAnsi="Arial" w:cs="Arial"/>
          <w:sz w:val="24"/>
          <w:szCs w:val="24"/>
        </w:rPr>
        <w:t xml:space="preserve"> </w:t>
      </w:r>
      <w:r w:rsidR="00057244" w:rsidRPr="00DA62A9">
        <w:rPr>
          <w:rFonts w:ascii="Arial" w:hAnsi="Arial" w:cs="Arial"/>
          <w:sz w:val="24"/>
          <w:szCs w:val="24"/>
        </w:rPr>
        <w:t xml:space="preserve">story </w:t>
      </w:r>
      <w:r w:rsidR="00074FA0">
        <w:rPr>
          <w:rFonts w:ascii="Arial" w:hAnsi="Arial" w:cs="Arial"/>
          <w:sz w:val="24"/>
          <w:szCs w:val="24"/>
        </w:rPr>
        <w:t>and</w:t>
      </w:r>
      <w:r w:rsidR="00074FA0" w:rsidRPr="00DA62A9">
        <w:rPr>
          <w:rFonts w:ascii="Arial" w:hAnsi="Arial" w:cs="Arial"/>
          <w:sz w:val="24"/>
          <w:szCs w:val="24"/>
        </w:rPr>
        <w:t xml:space="preserve"> a </w:t>
      </w:r>
      <w:r w:rsidR="00074FA0">
        <w:rPr>
          <w:rFonts w:ascii="Arial" w:hAnsi="Arial" w:cs="Arial"/>
          <w:sz w:val="24"/>
          <w:szCs w:val="24"/>
        </w:rPr>
        <w:t>ten (10)</w:t>
      </w:r>
      <w:r w:rsidR="00AC2B66">
        <w:rPr>
          <w:rFonts w:ascii="Arial" w:hAnsi="Arial" w:cs="Arial"/>
          <w:sz w:val="24"/>
          <w:szCs w:val="24"/>
        </w:rPr>
        <w:t xml:space="preserve"> </w:t>
      </w:r>
      <w:r w:rsidR="00074FA0" w:rsidRPr="00DA62A9">
        <w:rPr>
          <w:rFonts w:ascii="Arial" w:hAnsi="Arial" w:cs="Arial"/>
          <w:sz w:val="24"/>
          <w:szCs w:val="24"/>
        </w:rPr>
        <w:t xml:space="preserve">story </w:t>
      </w:r>
      <w:r w:rsidR="00057244" w:rsidRPr="00DA62A9">
        <w:rPr>
          <w:rFonts w:ascii="Arial" w:hAnsi="Arial" w:cs="Arial"/>
          <w:sz w:val="24"/>
          <w:szCs w:val="24"/>
        </w:rPr>
        <w:t>multi-family residential building</w:t>
      </w:r>
      <w:r w:rsidR="00F06FE5">
        <w:rPr>
          <w:rFonts w:ascii="Arial" w:hAnsi="Arial" w:cs="Arial"/>
          <w:sz w:val="24"/>
          <w:szCs w:val="24"/>
        </w:rPr>
        <w:t>.</w:t>
      </w:r>
      <w:r w:rsidR="00057244" w:rsidRPr="00DA62A9">
        <w:rPr>
          <w:rFonts w:ascii="Arial" w:hAnsi="Arial" w:cs="Arial"/>
          <w:sz w:val="24"/>
          <w:szCs w:val="24"/>
        </w:rPr>
        <w:t xml:space="preserve"> To the south</w:t>
      </w:r>
      <w:r w:rsidR="00852360">
        <w:rPr>
          <w:rFonts w:ascii="Arial" w:hAnsi="Arial" w:cs="Arial"/>
          <w:sz w:val="24"/>
          <w:szCs w:val="24"/>
        </w:rPr>
        <w:t xml:space="preserve"> there is an</w:t>
      </w:r>
      <w:r w:rsidR="00057244" w:rsidRPr="00DA62A9">
        <w:rPr>
          <w:rFonts w:ascii="Arial" w:hAnsi="Arial" w:cs="Arial"/>
          <w:sz w:val="24"/>
          <w:szCs w:val="24"/>
        </w:rPr>
        <w:t xml:space="preserve"> </w:t>
      </w:r>
      <w:r w:rsidR="00057244">
        <w:rPr>
          <w:rFonts w:ascii="Arial" w:hAnsi="Arial" w:cs="Arial"/>
          <w:sz w:val="24"/>
          <w:szCs w:val="24"/>
        </w:rPr>
        <w:t>eight (8)</w:t>
      </w:r>
      <w:r w:rsidR="00AC2B66">
        <w:rPr>
          <w:rFonts w:ascii="Arial" w:hAnsi="Arial" w:cs="Arial"/>
          <w:sz w:val="24"/>
          <w:szCs w:val="24"/>
        </w:rPr>
        <w:t xml:space="preserve"> </w:t>
      </w:r>
      <w:r w:rsidR="00057244" w:rsidRPr="00DA62A9">
        <w:rPr>
          <w:rFonts w:ascii="Arial" w:hAnsi="Arial" w:cs="Arial"/>
          <w:sz w:val="24"/>
          <w:szCs w:val="24"/>
        </w:rPr>
        <w:t>stor</w:t>
      </w:r>
      <w:r w:rsidR="00852360">
        <w:rPr>
          <w:rFonts w:ascii="Arial" w:hAnsi="Arial" w:cs="Arial"/>
          <w:sz w:val="24"/>
          <w:szCs w:val="24"/>
        </w:rPr>
        <w:t>y</w:t>
      </w:r>
      <w:r w:rsidR="00C05850">
        <w:rPr>
          <w:rFonts w:ascii="Arial" w:hAnsi="Arial" w:cs="Arial"/>
          <w:sz w:val="24"/>
          <w:szCs w:val="24"/>
        </w:rPr>
        <w:t xml:space="preserve"> </w:t>
      </w:r>
      <w:r w:rsidR="00595C11">
        <w:rPr>
          <w:rFonts w:ascii="Arial" w:hAnsi="Arial" w:cs="Arial"/>
          <w:sz w:val="24"/>
          <w:szCs w:val="24"/>
        </w:rPr>
        <w:t>building</w:t>
      </w:r>
      <w:r w:rsidR="00AC2B66">
        <w:rPr>
          <w:rFonts w:ascii="Arial" w:hAnsi="Arial" w:cs="Arial"/>
          <w:sz w:val="24"/>
          <w:szCs w:val="24"/>
        </w:rPr>
        <w:t xml:space="preserve"> and directly </w:t>
      </w:r>
      <w:r w:rsidR="006E4B17">
        <w:rPr>
          <w:rFonts w:ascii="Arial" w:hAnsi="Arial" w:cs="Arial"/>
          <w:sz w:val="24"/>
          <w:szCs w:val="24"/>
        </w:rPr>
        <w:t xml:space="preserve">to the east, in the </w:t>
      </w:r>
      <w:r w:rsidR="006E4B17" w:rsidRPr="006E4B17">
        <w:rPr>
          <w:rFonts w:ascii="Arial" w:hAnsi="Arial" w:cs="Arial"/>
          <w:sz w:val="24"/>
          <w:szCs w:val="24"/>
        </w:rPr>
        <w:t>North Beach Residential Area District</w:t>
      </w:r>
      <w:r w:rsidR="006E4B17">
        <w:rPr>
          <w:rFonts w:ascii="Arial" w:hAnsi="Arial" w:cs="Arial"/>
          <w:sz w:val="24"/>
          <w:szCs w:val="24"/>
        </w:rPr>
        <w:t xml:space="preserve"> (</w:t>
      </w:r>
      <w:proofErr w:type="spellStart"/>
      <w:r w:rsidR="006E4B17">
        <w:rPr>
          <w:rFonts w:ascii="Arial" w:hAnsi="Arial" w:cs="Arial"/>
          <w:sz w:val="24"/>
          <w:szCs w:val="24"/>
        </w:rPr>
        <w:t>NBRA</w:t>
      </w:r>
      <w:proofErr w:type="spellEnd"/>
      <w:r w:rsidR="006E4B17">
        <w:rPr>
          <w:rFonts w:ascii="Arial" w:hAnsi="Arial" w:cs="Arial"/>
          <w:sz w:val="24"/>
          <w:szCs w:val="24"/>
        </w:rPr>
        <w:t>), there are several two (2)</w:t>
      </w:r>
      <w:r w:rsidR="00AC2B66">
        <w:rPr>
          <w:rFonts w:ascii="Arial" w:hAnsi="Arial" w:cs="Arial"/>
          <w:sz w:val="24"/>
          <w:szCs w:val="24"/>
        </w:rPr>
        <w:t xml:space="preserve"> </w:t>
      </w:r>
      <w:r w:rsidR="006E4B17">
        <w:rPr>
          <w:rFonts w:ascii="Arial" w:hAnsi="Arial" w:cs="Arial"/>
          <w:sz w:val="24"/>
          <w:szCs w:val="24"/>
        </w:rPr>
        <w:t>story residential buildings, one eight (8)</w:t>
      </w:r>
      <w:r w:rsidR="00AC2B66">
        <w:rPr>
          <w:rFonts w:ascii="Arial" w:hAnsi="Arial" w:cs="Arial"/>
          <w:sz w:val="24"/>
          <w:szCs w:val="24"/>
        </w:rPr>
        <w:t xml:space="preserve"> </w:t>
      </w:r>
      <w:r w:rsidR="006E4B17">
        <w:rPr>
          <w:rFonts w:ascii="Arial" w:hAnsi="Arial" w:cs="Arial"/>
          <w:sz w:val="24"/>
          <w:szCs w:val="24"/>
        </w:rPr>
        <w:t>story residential building, and one eleven (11)</w:t>
      </w:r>
      <w:r w:rsidR="00AC2B66">
        <w:rPr>
          <w:rFonts w:ascii="Arial" w:hAnsi="Arial" w:cs="Arial"/>
          <w:sz w:val="24"/>
          <w:szCs w:val="24"/>
        </w:rPr>
        <w:t xml:space="preserve"> </w:t>
      </w:r>
      <w:r w:rsidR="006E4B17">
        <w:rPr>
          <w:rFonts w:ascii="Arial" w:hAnsi="Arial" w:cs="Arial"/>
          <w:sz w:val="24"/>
          <w:szCs w:val="24"/>
        </w:rPr>
        <w:t xml:space="preserve">story multi-family residential building. </w:t>
      </w:r>
      <w:r w:rsidR="00057244" w:rsidRPr="00DA62A9">
        <w:rPr>
          <w:rFonts w:ascii="Arial" w:hAnsi="Arial" w:cs="Arial"/>
          <w:sz w:val="24"/>
          <w:szCs w:val="24"/>
        </w:rPr>
        <w:t xml:space="preserve">The proposed building </w:t>
      </w:r>
      <w:r w:rsidR="00057244">
        <w:rPr>
          <w:rFonts w:ascii="Arial" w:hAnsi="Arial" w:cs="Arial"/>
          <w:sz w:val="24"/>
          <w:szCs w:val="24"/>
        </w:rPr>
        <w:t>height of thirteen (13)</w:t>
      </w:r>
      <w:r w:rsidR="00AC2B66">
        <w:rPr>
          <w:rFonts w:ascii="Arial" w:hAnsi="Arial" w:cs="Arial"/>
          <w:sz w:val="24"/>
          <w:szCs w:val="24"/>
        </w:rPr>
        <w:t xml:space="preserve"> </w:t>
      </w:r>
      <w:r w:rsidR="00057244">
        <w:rPr>
          <w:rFonts w:ascii="Arial" w:hAnsi="Arial" w:cs="Arial"/>
          <w:sz w:val="24"/>
          <w:szCs w:val="24"/>
        </w:rPr>
        <w:t xml:space="preserve">stories </w:t>
      </w:r>
      <w:r w:rsidR="00AC2B66">
        <w:rPr>
          <w:rFonts w:ascii="Arial" w:hAnsi="Arial" w:cs="Arial"/>
          <w:sz w:val="24"/>
          <w:szCs w:val="24"/>
        </w:rPr>
        <w:t>is</w:t>
      </w:r>
      <w:r w:rsidR="00057244" w:rsidRPr="00DA62A9">
        <w:rPr>
          <w:rFonts w:ascii="Arial" w:hAnsi="Arial" w:cs="Arial"/>
          <w:sz w:val="24"/>
          <w:szCs w:val="24"/>
        </w:rPr>
        <w:t xml:space="preserve"> compatible with the surrounding built environment and context. </w:t>
      </w:r>
    </w:p>
    <w:p w14:paraId="6FB9A7F5" w14:textId="7927E8B9" w:rsidR="00972AA5" w:rsidRDefault="00972AA5" w:rsidP="00972AA5">
      <w:pPr>
        <w:pStyle w:val="p1"/>
        <w:jc w:val="both"/>
        <w:rPr>
          <w:rStyle w:val="s2"/>
          <w:rFonts w:ascii="Arial" w:hAnsi="Arial" w:cs="Arial"/>
          <w:sz w:val="24"/>
          <w:szCs w:val="24"/>
        </w:rPr>
      </w:pPr>
      <w:r w:rsidRPr="00AC2571">
        <w:rPr>
          <w:rStyle w:val="s2"/>
          <w:rFonts w:ascii="Arial" w:hAnsi="Arial" w:cs="Arial"/>
          <w:sz w:val="24"/>
          <w:szCs w:val="24"/>
        </w:rPr>
        <w:t>Table 1 provides a summary of the quantitative dimension</w:t>
      </w:r>
      <w:r>
        <w:rPr>
          <w:rStyle w:val="s2"/>
          <w:rFonts w:ascii="Arial" w:hAnsi="Arial" w:cs="Arial"/>
          <w:sz w:val="24"/>
          <w:szCs w:val="24"/>
        </w:rPr>
        <w:t>al requirements specified for the</w:t>
      </w:r>
      <w:r w:rsidRPr="00AC2571">
        <w:rPr>
          <w:rStyle w:val="s2"/>
          <w:rFonts w:ascii="Arial" w:hAnsi="Arial" w:cs="Arial"/>
          <w:sz w:val="24"/>
          <w:szCs w:val="24"/>
        </w:rPr>
        <w:t xml:space="preserve"> </w:t>
      </w:r>
      <w:r w:rsidR="004A33CC">
        <w:rPr>
          <w:rStyle w:val="s2"/>
          <w:rFonts w:ascii="Arial" w:hAnsi="Arial" w:cs="Arial"/>
          <w:sz w:val="24"/>
          <w:szCs w:val="24"/>
        </w:rPr>
        <w:t>IOA</w:t>
      </w:r>
      <w:r>
        <w:rPr>
          <w:rStyle w:val="s2"/>
          <w:rFonts w:ascii="Arial" w:hAnsi="Arial" w:cs="Arial"/>
          <w:sz w:val="24"/>
          <w:szCs w:val="24"/>
        </w:rPr>
        <w:t xml:space="preserve"> district</w:t>
      </w:r>
      <w:r w:rsidRPr="00AC2571">
        <w:rPr>
          <w:rStyle w:val="s2"/>
          <w:rFonts w:ascii="Arial" w:hAnsi="Arial" w:cs="Arial"/>
          <w:sz w:val="24"/>
          <w:szCs w:val="24"/>
        </w:rPr>
        <w:t xml:space="preserve"> and those proposed for the project. </w:t>
      </w:r>
    </w:p>
    <w:p w14:paraId="406D534C" w14:textId="77777777" w:rsidR="00972AA5" w:rsidRPr="004A68BA" w:rsidRDefault="00972AA5" w:rsidP="00972AA5">
      <w:pPr>
        <w:widowControl/>
        <w:spacing w:after="0" w:line="240" w:lineRule="auto"/>
        <w:rPr>
          <w:rFonts w:ascii="Arial" w:hAnsi="Arial" w:cs="Arial"/>
          <w:b/>
          <w:bCs/>
          <w:color w:val="000000"/>
          <w:sz w:val="18"/>
          <w:szCs w:val="18"/>
        </w:rPr>
      </w:pPr>
      <w:r w:rsidRPr="004A68BA">
        <w:rPr>
          <w:rFonts w:ascii="Arial" w:hAnsi="Arial" w:cs="Arial"/>
          <w:b/>
          <w:bCs/>
          <w:color w:val="000000"/>
          <w:sz w:val="18"/>
          <w:szCs w:val="18"/>
        </w:rPr>
        <w:t>Table 1 – Amended Dimensional Requirements</w:t>
      </w:r>
    </w:p>
    <w:p w14:paraId="115512A8" w14:textId="77777777" w:rsidR="001E2797" w:rsidRPr="00D00474" w:rsidRDefault="001E2797" w:rsidP="00972AA5">
      <w:pPr>
        <w:widowControl/>
        <w:spacing w:after="0" w:line="240" w:lineRule="auto"/>
        <w:rPr>
          <w:rFonts w:ascii="Arial" w:hAnsi="Arial" w:cs="Arial"/>
          <w:b/>
          <w:color w:val="000000"/>
          <w:sz w:val="6"/>
          <w:szCs w:val="6"/>
          <w:highlight w:val="yellow"/>
        </w:rPr>
      </w:pPr>
    </w:p>
    <w:tbl>
      <w:tblPr>
        <w:tblStyle w:val="PlainTable1"/>
        <w:tblW w:w="9450"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430"/>
        <w:gridCol w:w="2250"/>
        <w:gridCol w:w="2070"/>
        <w:gridCol w:w="2700"/>
      </w:tblGrid>
      <w:tr w:rsidR="00B82EAE" w:rsidRPr="00067AB3" w14:paraId="38CD4B94" w14:textId="77777777" w:rsidTr="00D00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threeDEngrave" w:sz="24" w:space="0" w:color="808080" w:themeColor="background1" w:themeShade="80"/>
              <w:bottom w:val="single" w:sz="12" w:space="0" w:color="808080" w:themeColor="background1" w:themeShade="80"/>
            </w:tcBorders>
            <w:shd w:val="clear" w:color="auto" w:fill="D9D9D9" w:themeFill="background1" w:themeFillShade="D9"/>
          </w:tcPr>
          <w:p w14:paraId="4C5D8C6D" w14:textId="755E81E6" w:rsidR="00B82EAE" w:rsidRPr="00067AB3" w:rsidRDefault="00B82EAE" w:rsidP="00D00474">
            <w:pPr>
              <w:rPr>
                <w:rFonts w:ascii="Arial" w:hAnsi="Arial" w:cs="Arial"/>
                <w:b w:val="0"/>
                <w:bCs w:val="0"/>
                <w:sz w:val="18"/>
                <w:szCs w:val="18"/>
              </w:rPr>
            </w:pPr>
          </w:p>
        </w:tc>
        <w:tc>
          <w:tcPr>
            <w:tcW w:w="2250" w:type="dxa"/>
            <w:tcBorders>
              <w:top w:val="threeDEngrave" w:sz="24" w:space="0" w:color="808080" w:themeColor="background1" w:themeShade="80"/>
              <w:bottom w:val="single" w:sz="12" w:space="0" w:color="808080" w:themeColor="background1" w:themeShade="80"/>
            </w:tcBorders>
            <w:shd w:val="clear" w:color="auto" w:fill="D9D9D9" w:themeFill="background1" w:themeFillShade="D9"/>
          </w:tcPr>
          <w:p w14:paraId="43FF13AB" w14:textId="77777777" w:rsidR="00B82EAE" w:rsidRPr="00067AB3" w:rsidRDefault="00B82EAE" w:rsidP="00D3727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067AB3">
              <w:rPr>
                <w:rFonts w:ascii="Arial" w:hAnsi="Arial" w:cs="Arial"/>
                <w:sz w:val="18"/>
                <w:szCs w:val="18"/>
              </w:rPr>
              <w:t>Requirement</w:t>
            </w:r>
          </w:p>
        </w:tc>
        <w:tc>
          <w:tcPr>
            <w:tcW w:w="2070" w:type="dxa"/>
            <w:tcBorders>
              <w:top w:val="threeDEngrave" w:sz="24" w:space="0" w:color="808080" w:themeColor="background1" w:themeShade="80"/>
              <w:bottom w:val="single" w:sz="12" w:space="0" w:color="808080" w:themeColor="background1" w:themeShade="80"/>
            </w:tcBorders>
            <w:shd w:val="clear" w:color="auto" w:fill="D9D9D9" w:themeFill="background1" w:themeFillShade="D9"/>
          </w:tcPr>
          <w:p w14:paraId="2BA26B01" w14:textId="77777777" w:rsidR="00B82EAE" w:rsidRPr="00067AB3" w:rsidRDefault="00B82EAE" w:rsidP="00D3727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067AB3">
              <w:rPr>
                <w:rFonts w:ascii="Arial" w:hAnsi="Arial" w:cs="Arial"/>
                <w:sz w:val="18"/>
                <w:szCs w:val="18"/>
              </w:rPr>
              <w:t xml:space="preserve"> Proposed </w:t>
            </w:r>
          </w:p>
        </w:tc>
        <w:tc>
          <w:tcPr>
            <w:tcW w:w="2700" w:type="dxa"/>
            <w:tcBorders>
              <w:top w:val="threeDEngrave" w:sz="24" w:space="0" w:color="808080" w:themeColor="background1" w:themeShade="80"/>
              <w:bottom w:val="single" w:sz="12" w:space="0" w:color="808080" w:themeColor="background1" w:themeShade="80"/>
            </w:tcBorders>
            <w:shd w:val="clear" w:color="auto" w:fill="D9D9D9" w:themeFill="background1" w:themeFillShade="D9"/>
          </w:tcPr>
          <w:p w14:paraId="584DB95F" w14:textId="77777777" w:rsidR="00B82EAE" w:rsidRPr="00067AB3" w:rsidRDefault="00B82EAE" w:rsidP="00D3727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067AB3">
              <w:rPr>
                <w:rFonts w:ascii="Arial" w:hAnsi="Arial" w:cs="Arial"/>
                <w:sz w:val="18"/>
                <w:szCs w:val="18"/>
              </w:rPr>
              <w:t xml:space="preserve">Complies </w:t>
            </w:r>
          </w:p>
        </w:tc>
      </w:tr>
      <w:tr w:rsidR="00B82EAE" w:rsidRPr="00067AB3" w14:paraId="401BC96B" w14:textId="77777777" w:rsidTr="004A68B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tcBorders>
              <w:top w:val="single" w:sz="12" w:space="0" w:color="808080" w:themeColor="background1" w:themeShade="80"/>
            </w:tcBorders>
            <w:shd w:val="clear" w:color="auto" w:fill="D9D9D9" w:themeFill="background1" w:themeFillShade="D9"/>
          </w:tcPr>
          <w:p w14:paraId="36D92CFB" w14:textId="5E2C7E37" w:rsidR="00B82EAE" w:rsidRPr="00067AB3" w:rsidRDefault="00B82EAE" w:rsidP="001B4B9D">
            <w:pPr>
              <w:rPr>
                <w:rFonts w:ascii="Arial" w:hAnsi="Arial" w:cs="Arial"/>
                <w:b w:val="0"/>
                <w:bCs w:val="0"/>
                <w:sz w:val="18"/>
                <w:szCs w:val="18"/>
              </w:rPr>
            </w:pPr>
            <w:r w:rsidRPr="00067AB3">
              <w:rPr>
                <w:rFonts w:ascii="Arial" w:hAnsi="Arial" w:cs="Arial"/>
                <w:sz w:val="18"/>
                <w:szCs w:val="18"/>
              </w:rPr>
              <w:t>Height</w:t>
            </w:r>
          </w:p>
        </w:tc>
        <w:tc>
          <w:tcPr>
            <w:tcW w:w="2250" w:type="dxa"/>
            <w:tcBorders>
              <w:top w:val="single" w:sz="12" w:space="0" w:color="808080" w:themeColor="background1" w:themeShade="80"/>
            </w:tcBorders>
            <w:vAlign w:val="center"/>
          </w:tcPr>
          <w:p w14:paraId="03393E6C" w14:textId="77777777" w:rsidR="00B82EAE" w:rsidRPr="00D00474" w:rsidRDefault="00B82EAE" w:rsidP="001B4B9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18"/>
                <w:szCs w:val="18"/>
              </w:rPr>
            </w:pPr>
            <w:r w:rsidRPr="00D00474">
              <w:rPr>
                <w:rFonts w:ascii="Arial" w:eastAsia="Calibri" w:hAnsi="Arial" w:cs="Arial"/>
                <w:color w:val="000000"/>
                <w:sz w:val="18"/>
                <w:szCs w:val="18"/>
              </w:rPr>
              <w:t>120 Feet</w:t>
            </w:r>
          </w:p>
          <w:p w14:paraId="449F6636" w14:textId="6A373071" w:rsidR="00B82EAE" w:rsidRPr="00067AB3" w:rsidRDefault="00B82EAE"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70" w:type="dxa"/>
            <w:tcBorders>
              <w:top w:val="single" w:sz="12" w:space="0" w:color="808080" w:themeColor="background1" w:themeShade="80"/>
            </w:tcBorders>
            <w:vAlign w:val="center"/>
          </w:tcPr>
          <w:p w14:paraId="211F980C" w14:textId="55CCE954" w:rsidR="00B82EAE" w:rsidRPr="00067AB3" w:rsidRDefault="00B82EAE"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00474">
              <w:rPr>
                <w:rFonts w:ascii="Arial" w:eastAsia="Calibri" w:hAnsi="Arial" w:cs="Arial"/>
                <w:sz w:val="18"/>
                <w:szCs w:val="18"/>
              </w:rPr>
              <w:t>144 Feet</w:t>
            </w:r>
          </w:p>
        </w:tc>
        <w:tc>
          <w:tcPr>
            <w:tcW w:w="2700" w:type="dxa"/>
            <w:tcBorders>
              <w:top w:val="single" w:sz="12" w:space="0" w:color="808080" w:themeColor="background1" w:themeShade="80"/>
            </w:tcBorders>
            <w:vAlign w:val="center"/>
          </w:tcPr>
          <w:p w14:paraId="0BF1AE14" w14:textId="77777777" w:rsidR="00E864CB" w:rsidRPr="00D00474" w:rsidRDefault="00E864CB" w:rsidP="001B4B9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18"/>
                <w:szCs w:val="18"/>
              </w:rPr>
            </w:pPr>
            <w:r w:rsidRPr="00D00474">
              <w:rPr>
                <w:rFonts w:ascii="Arial" w:eastAsia="Calibri" w:hAnsi="Arial" w:cs="Arial"/>
                <w:color w:val="000000"/>
                <w:sz w:val="18"/>
                <w:szCs w:val="18"/>
              </w:rPr>
              <w:t>Complies</w:t>
            </w:r>
          </w:p>
          <w:p w14:paraId="3DB6A66E" w14:textId="454BE735" w:rsidR="00E864CB" w:rsidRPr="00D00474" w:rsidRDefault="00E864CB" w:rsidP="001B4B9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18"/>
                <w:szCs w:val="18"/>
              </w:rPr>
            </w:pPr>
            <w:r w:rsidRPr="00D00474">
              <w:rPr>
                <w:rFonts w:ascii="Arial" w:eastAsia="Calibri" w:hAnsi="Arial" w:cs="Arial"/>
                <w:color w:val="000000"/>
                <w:sz w:val="18"/>
                <w:szCs w:val="18"/>
              </w:rPr>
              <w:t>(up to 144 feet subject to</w:t>
            </w:r>
          </w:p>
          <w:p w14:paraId="5537288F" w14:textId="77F0A253" w:rsidR="00B82EAE" w:rsidRPr="00067AB3" w:rsidRDefault="00E864CB"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00474">
              <w:rPr>
                <w:rFonts w:ascii="Arial" w:eastAsia="Calibri" w:hAnsi="Arial" w:cs="Arial"/>
                <w:color w:val="000000"/>
                <w:sz w:val="18"/>
                <w:szCs w:val="18"/>
              </w:rPr>
              <w:t>City Commission review)</w:t>
            </w:r>
          </w:p>
        </w:tc>
      </w:tr>
      <w:tr w:rsidR="00B82EAE" w:rsidRPr="00067AB3" w14:paraId="15726596" w14:textId="77777777" w:rsidTr="004A68BA">
        <w:trPr>
          <w:trHeight w:val="576"/>
        </w:trPr>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14:paraId="3A11E5D6" w14:textId="65904376" w:rsidR="00B82EAE" w:rsidRPr="00B82EAE" w:rsidRDefault="00B82EAE" w:rsidP="001B4B9D">
            <w:pPr>
              <w:rPr>
                <w:rFonts w:ascii="Arial" w:hAnsi="Arial" w:cs="Arial"/>
                <w:sz w:val="18"/>
                <w:szCs w:val="18"/>
              </w:rPr>
            </w:pPr>
            <w:r w:rsidRPr="00B82EAE">
              <w:rPr>
                <w:rFonts w:ascii="Arial" w:hAnsi="Arial" w:cs="Arial"/>
                <w:sz w:val="18"/>
                <w:szCs w:val="18"/>
              </w:rPr>
              <w:t>Maximum Building</w:t>
            </w:r>
          </w:p>
          <w:p w14:paraId="050AF50D" w14:textId="5BAB061A" w:rsidR="00B82EAE" w:rsidRPr="00067AB3" w:rsidRDefault="00B82EAE" w:rsidP="001B4B9D">
            <w:pPr>
              <w:rPr>
                <w:rFonts w:ascii="Arial" w:hAnsi="Arial" w:cs="Arial"/>
                <w:b w:val="0"/>
                <w:bCs w:val="0"/>
                <w:sz w:val="18"/>
                <w:szCs w:val="18"/>
              </w:rPr>
            </w:pPr>
            <w:r w:rsidRPr="00B82EAE">
              <w:rPr>
                <w:rFonts w:ascii="Arial" w:hAnsi="Arial" w:cs="Arial"/>
                <w:sz w:val="18"/>
                <w:szCs w:val="18"/>
              </w:rPr>
              <w:t>Streetwall Length</w:t>
            </w:r>
          </w:p>
        </w:tc>
        <w:tc>
          <w:tcPr>
            <w:tcW w:w="2250" w:type="dxa"/>
            <w:vAlign w:val="center"/>
          </w:tcPr>
          <w:p w14:paraId="1067ABC6" w14:textId="01520258" w:rsidR="00B82EAE" w:rsidRPr="00067AB3"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0474">
              <w:rPr>
                <w:rFonts w:ascii="Arial" w:eastAsia="Calibri" w:hAnsi="Arial" w:cs="Arial"/>
                <w:color w:val="000000"/>
                <w:sz w:val="18"/>
                <w:szCs w:val="18"/>
              </w:rPr>
              <w:t>200 Feet</w:t>
            </w:r>
          </w:p>
        </w:tc>
        <w:tc>
          <w:tcPr>
            <w:tcW w:w="2070" w:type="dxa"/>
            <w:vAlign w:val="center"/>
          </w:tcPr>
          <w:p w14:paraId="6AF7360F" w14:textId="77777777" w:rsidR="00B82EAE" w:rsidRPr="00D00474" w:rsidRDefault="00B82EAE" w:rsidP="001B4B9D">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D00474">
              <w:rPr>
                <w:rFonts w:ascii="Arial" w:eastAsia="Calibri" w:hAnsi="Arial" w:cs="Arial"/>
                <w:sz w:val="18"/>
                <w:szCs w:val="18"/>
              </w:rPr>
              <w:t>136 Feet Length</w:t>
            </w:r>
          </w:p>
          <w:p w14:paraId="7435794F" w14:textId="053F84D1" w:rsidR="00B82EAE" w:rsidRPr="00067AB3"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700" w:type="dxa"/>
            <w:vAlign w:val="center"/>
          </w:tcPr>
          <w:p w14:paraId="1F0B741E" w14:textId="6A78E2B3" w:rsidR="00B82EAE" w:rsidRPr="00067AB3"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67AB3">
              <w:rPr>
                <w:rFonts w:ascii="Arial" w:hAnsi="Arial" w:cs="Arial"/>
                <w:sz w:val="18"/>
                <w:szCs w:val="18"/>
              </w:rPr>
              <w:t>Complies</w:t>
            </w:r>
          </w:p>
        </w:tc>
      </w:tr>
      <w:tr w:rsidR="00B82EAE" w:rsidRPr="00067AB3" w14:paraId="237FD6FA" w14:textId="77777777" w:rsidTr="004A68B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14:paraId="60AFF84B" w14:textId="347C6C6B" w:rsidR="00B82EAE" w:rsidRPr="00067AB3" w:rsidRDefault="00B82EAE" w:rsidP="001B4B9D">
            <w:pPr>
              <w:rPr>
                <w:rFonts w:ascii="Arial" w:hAnsi="Arial" w:cs="Arial"/>
                <w:b w:val="0"/>
                <w:bCs w:val="0"/>
                <w:sz w:val="18"/>
                <w:szCs w:val="18"/>
              </w:rPr>
            </w:pPr>
            <w:r w:rsidRPr="00B82EAE">
              <w:rPr>
                <w:rFonts w:ascii="Arial" w:hAnsi="Arial" w:cs="Arial"/>
                <w:sz w:val="18"/>
                <w:szCs w:val="18"/>
              </w:rPr>
              <w:t>Maximum Tower Floorplate Size</w:t>
            </w:r>
          </w:p>
        </w:tc>
        <w:tc>
          <w:tcPr>
            <w:tcW w:w="2250" w:type="dxa"/>
            <w:vAlign w:val="center"/>
          </w:tcPr>
          <w:p w14:paraId="59D5360D" w14:textId="12DAF3D3" w:rsidR="00B82EAE" w:rsidRPr="00067AB3" w:rsidRDefault="00B82EAE"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00474">
              <w:rPr>
                <w:rFonts w:ascii="Arial" w:eastAsia="Calibri" w:hAnsi="Arial" w:cs="Arial"/>
                <w:color w:val="000000"/>
                <w:sz w:val="18"/>
                <w:szCs w:val="18"/>
              </w:rPr>
              <w:t xml:space="preserve">16,000 </w:t>
            </w:r>
            <w:r w:rsidR="00D00474">
              <w:rPr>
                <w:rFonts w:ascii="Arial" w:hAnsi="Arial" w:cs="Arial"/>
                <w:color w:val="000000"/>
                <w:sz w:val="18"/>
                <w:szCs w:val="18"/>
              </w:rPr>
              <w:t>S</w:t>
            </w:r>
            <w:r w:rsidRPr="00D00474">
              <w:rPr>
                <w:rFonts w:ascii="Arial" w:hAnsi="Arial" w:cs="Arial"/>
                <w:sz w:val="18"/>
                <w:szCs w:val="18"/>
              </w:rPr>
              <w:t xml:space="preserve">quare </w:t>
            </w:r>
            <w:r w:rsidR="00D00474">
              <w:rPr>
                <w:rFonts w:ascii="Arial" w:hAnsi="Arial" w:cs="Arial"/>
                <w:sz w:val="18"/>
                <w:szCs w:val="18"/>
              </w:rPr>
              <w:t>F</w:t>
            </w:r>
            <w:r w:rsidRPr="00D00474">
              <w:rPr>
                <w:rFonts w:ascii="Arial" w:hAnsi="Arial" w:cs="Arial"/>
                <w:sz w:val="18"/>
                <w:szCs w:val="18"/>
              </w:rPr>
              <w:t xml:space="preserve">eet </w:t>
            </w:r>
          </w:p>
        </w:tc>
        <w:tc>
          <w:tcPr>
            <w:tcW w:w="2070" w:type="dxa"/>
            <w:vAlign w:val="center"/>
          </w:tcPr>
          <w:p w14:paraId="638784A3" w14:textId="624A5044" w:rsidR="00B82EAE" w:rsidRPr="00067AB3" w:rsidRDefault="00E864CB"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00474">
              <w:rPr>
                <w:rFonts w:ascii="Arial" w:eastAsia="Calibri" w:hAnsi="Arial" w:cs="Arial"/>
                <w:sz w:val="18"/>
                <w:szCs w:val="18"/>
              </w:rPr>
              <w:t>1</w:t>
            </w:r>
            <w:r w:rsidR="00B82EAE" w:rsidRPr="00D00474">
              <w:rPr>
                <w:rFonts w:ascii="Arial" w:eastAsia="Calibri" w:hAnsi="Arial" w:cs="Arial"/>
                <w:sz w:val="18"/>
                <w:szCs w:val="18"/>
              </w:rPr>
              <w:t>3,967 Square Feet</w:t>
            </w:r>
          </w:p>
        </w:tc>
        <w:tc>
          <w:tcPr>
            <w:tcW w:w="2700" w:type="dxa"/>
            <w:vAlign w:val="center"/>
          </w:tcPr>
          <w:p w14:paraId="2DFB79E3" w14:textId="3A9DEF41" w:rsidR="00B82EAE" w:rsidRPr="00067AB3" w:rsidRDefault="00B82EAE"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67AB3">
              <w:rPr>
                <w:rFonts w:ascii="Arial" w:hAnsi="Arial" w:cs="Arial"/>
                <w:sz w:val="18"/>
                <w:szCs w:val="18"/>
              </w:rPr>
              <w:t>Complies</w:t>
            </w:r>
          </w:p>
        </w:tc>
      </w:tr>
      <w:tr w:rsidR="00B82EAE" w:rsidRPr="00067AB3" w14:paraId="3E6AFA63" w14:textId="77777777" w:rsidTr="004A68BA">
        <w:trPr>
          <w:trHeight w:val="576"/>
        </w:trPr>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14:paraId="5CDE4FC2" w14:textId="5FAA1C5B" w:rsidR="00B82EAE" w:rsidRPr="00B82EAE" w:rsidRDefault="00B82EAE" w:rsidP="001B4B9D">
            <w:pPr>
              <w:widowControl/>
              <w:rPr>
                <w:rFonts w:ascii="Arial" w:hAnsi="Arial" w:cs="Arial"/>
                <w:sz w:val="18"/>
                <w:szCs w:val="18"/>
              </w:rPr>
            </w:pPr>
            <w:r w:rsidRPr="00B82EAE">
              <w:rPr>
                <w:rFonts w:ascii="Arial" w:hAnsi="Arial" w:cs="Arial"/>
                <w:sz w:val="18"/>
                <w:szCs w:val="18"/>
              </w:rPr>
              <w:t>Maximum Building Podium Height</w:t>
            </w:r>
          </w:p>
        </w:tc>
        <w:tc>
          <w:tcPr>
            <w:tcW w:w="2250" w:type="dxa"/>
            <w:vAlign w:val="center"/>
          </w:tcPr>
          <w:p w14:paraId="2F432C33" w14:textId="52D2F80A" w:rsidR="00B82EAE" w:rsidRPr="00B82EAE"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0474">
              <w:rPr>
                <w:rFonts w:ascii="Arial" w:eastAsia="Calibri" w:hAnsi="Arial" w:cs="Arial"/>
                <w:color w:val="000000"/>
                <w:sz w:val="18"/>
                <w:szCs w:val="18"/>
              </w:rPr>
              <w:t>65</w:t>
            </w:r>
            <w:r w:rsidRPr="00B82EAE">
              <w:rPr>
                <w:rFonts w:ascii="Arial" w:hAnsi="Arial" w:cs="Arial"/>
                <w:sz w:val="18"/>
                <w:szCs w:val="18"/>
              </w:rPr>
              <w:t xml:space="preserve"> </w:t>
            </w:r>
            <w:r w:rsidR="00D00474">
              <w:rPr>
                <w:rFonts w:ascii="Arial" w:hAnsi="Arial" w:cs="Arial"/>
                <w:sz w:val="18"/>
                <w:szCs w:val="18"/>
              </w:rPr>
              <w:t>Feet</w:t>
            </w:r>
          </w:p>
        </w:tc>
        <w:tc>
          <w:tcPr>
            <w:tcW w:w="2070" w:type="dxa"/>
            <w:vAlign w:val="center"/>
          </w:tcPr>
          <w:p w14:paraId="3F037E6A" w14:textId="66D6DA35" w:rsidR="00B82EAE" w:rsidRPr="00067AB3"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D00474">
              <w:rPr>
                <w:rFonts w:ascii="Arial" w:eastAsia="Calibri" w:hAnsi="Arial" w:cs="Arial"/>
                <w:color w:val="000000"/>
                <w:sz w:val="18"/>
                <w:szCs w:val="18"/>
              </w:rPr>
              <w:t>65 Feet</w:t>
            </w:r>
          </w:p>
        </w:tc>
        <w:tc>
          <w:tcPr>
            <w:tcW w:w="2700" w:type="dxa"/>
            <w:vAlign w:val="center"/>
          </w:tcPr>
          <w:p w14:paraId="45E35CC6" w14:textId="57F05E9D" w:rsidR="00B82EAE" w:rsidRPr="00067AB3"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67AB3">
              <w:rPr>
                <w:rFonts w:ascii="Arial" w:hAnsi="Arial" w:cs="Arial"/>
                <w:sz w:val="18"/>
                <w:szCs w:val="18"/>
              </w:rPr>
              <w:t>Complies</w:t>
            </w:r>
          </w:p>
        </w:tc>
      </w:tr>
      <w:tr w:rsidR="00B82EAE" w:rsidRPr="00067AB3" w14:paraId="20DC7BBA" w14:textId="77777777" w:rsidTr="004A68B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30" w:type="dxa"/>
            <w:tcBorders>
              <w:bottom w:val="dotted" w:sz="4" w:space="0" w:color="808080" w:themeColor="background1" w:themeShade="80"/>
            </w:tcBorders>
            <w:shd w:val="clear" w:color="auto" w:fill="D9D9D9" w:themeFill="background1" w:themeFillShade="D9"/>
          </w:tcPr>
          <w:p w14:paraId="2914755E" w14:textId="6E21BAE0" w:rsidR="00B82EAE" w:rsidRPr="00B82EAE" w:rsidRDefault="00B82EAE" w:rsidP="001B4B9D">
            <w:pPr>
              <w:widowControl/>
              <w:rPr>
                <w:rFonts w:ascii="Arial" w:hAnsi="Arial" w:cs="Arial"/>
                <w:sz w:val="18"/>
                <w:szCs w:val="18"/>
              </w:rPr>
            </w:pPr>
            <w:r w:rsidRPr="00B82EAE">
              <w:rPr>
                <w:rFonts w:ascii="Arial" w:hAnsi="Arial" w:cs="Arial"/>
                <w:sz w:val="18"/>
                <w:szCs w:val="18"/>
              </w:rPr>
              <w:t>Minimum Building Tower Stepback</w:t>
            </w:r>
          </w:p>
        </w:tc>
        <w:tc>
          <w:tcPr>
            <w:tcW w:w="2250" w:type="dxa"/>
            <w:tcBorders>
              <w:bottom w:val="dotted" w:sz="4" w:space="0" w:color="808080" w:themeColor="background1" w:themeShade="80"/>
            </w:tcBorders>
            <w:vAlign w:val="center"/>
          </w:tcPr>
          <w:p w14:paraId="10E762FB" w14:textId="615F849E" w:rsidR="00B82EAE" w:rsidRPr="00B82EAE" w:rsidRDefault="00B82EAE" w:rsidP="001B4B9D">
            <w:pPr>
              <w:widowControl/>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00474">
              <w:rPr>
                <w:rFonts w:ascii="Arial" w:hAnsi="Arial" w:cs="Arial"/>
                <w:sz w:val="18"/>
                <w:szCs w:val="18"/>
              </w:rPr>
              <w:t>12</w:t>
            </w:r>
            <w:r w:rsidR="00D00474">
              <w:rPr>
                <w:rFonts w:ascii="Arial" w:hAnsi="Arial" w:cs="Arial"/>
                <w:sz w:val="18"/>
                <w:szCs w:val="18"/>
              </w:rPr>
              <w:t xml:space="preserve"> Feet</w:t>
            </w:r>
          </w:p>
          <w:p w14:paraId="17CCE3C5" w14:textId="42155281" w:rsidR="00B82EAE" w:rsidRPr="00067AB3" w:rsidRDefault="00B82EAE"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70" w:type="dxa"/>
            <w:tcBorders>
              <w:bottom w:val="dotted" w:sz="4" w:space="0" w:color="808080" w:themeColor="background1" w:themeShade="80"/>
            </w:tcBorders>
            <w:vAlign w:val="center"/>
          </w:tcPr>
          <w:p w14:paraId="2A4AB2F7" w14:textId="2B24E729" w:rsidR="00B82EAE" w:rsidRPr="00067AB3" w:rsidRDefault="00B82EAE"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00474">
              <w:rPr>
                <w:rFonts w:ascii="Arial" w:eastAsia="Calibri" w:hAnsi="Arial" w:cs="Arial"/>
                <w:sz w:val="18"/>
                <w:szCs w:val="18"/>
              </w:rPr>
              <w:t>12 Feet</w:t>
            </w:r>
          </w:p>
        </w:tc>
        <w:tc>
          <w:tcPr>
            <w:tcW w:w="2700" w:type="dxa"/>
            <w:tcBorders>
              <w:bottom w:val="dotted" w:sz="4" w:space="0" w:color="808080" w:themeColor="background1" w:themeShade="80"/>
            </w:tcBorders>
            <w:vAlign w:val="center"/>
          </w:tcPr>
          <w:p w14:paraId="0A600640" w14:textId="77777777" w:rsidR="00B82EAE" w:rsidRPr="00067AB3" w:rsidRDefault="00B82EAE" w:rsidP="001B4B9D">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67AB3">
              <w:rPr>
                <w:rFonts w:ascii="Arial" w:hAnsi="Arial" w:cs="Arial"/>
                <w:sz w:val="18"/>
                <w:szCs w:val="18"/>
              </w:rPr>
              <w:t>Complies</w:t>
            </w:r>
          </w:p>
        </w:tc>
      </w:tr>
      <w:tr w:rsidR="00B82EAE" w:rsidRPr="00067AB3" w14:paraId="40633B6C" w14:textId="77777777" w:rsidTr="004A68BA">
        <w:trPr>
          <w:trHeight w:val="576"/>
        </w:trPr>
        <w:tc>
          <w:tcPr>
            <w:cnfStyle w:val="001000000000" w:firstRow="0" w:lastRow="0" w:firstColumn="1" w:lastColumn="0" w:oddVBand="0" w:evenVBand="0" w:oddHBand="0" w:evenHBand="0" w:firstRowFirstColumn="0" w:firstRowLastColumn="0" w:lastRowFirstColumn="0" w:lastRowLastColumn="0"/>
            <w:tcW w:w="2430" w:type="dxa"/>
            <w:tcBorders>
              <w:bottom w:val="threeDEmboss" w:sz="24" w:space="0" w:color="808080" w:themeColor="background1" w:themeShade="80"/>
            </w:tcBorders>
            <w:shd w:val="clear" w:color="auto" w:fill="D9D9D9" w:themeFill="background1" w:themeFillShade="D9"/>
          </w:tcPr>
          <w:p w14:paraId="5BFFDABB" w14:textId="3B6A8A3F" w:rsidR="00B82EAE" w:rsidRPr="00067AB3" w:rsidRDefault="00B82EAE" w:rsidP="001B4B9D">
            <w:pPr>
              <w:rPr>
                <w:rFonts w:ascii="Arial" w:hAnsi="Arial" w:cs="Arial"/>
                <w:b w:val="0"/>
                <w:bCs w:val="0"/>
                <w:sz w:val="18"/>
                <w:szCs w:val="18"/>
              </w:rPr>
            </w:pPr>
            <w:r w:rsidRPr="00B82EAE">
              <w:rPr>
                <w:rFonts w:ascii="Arial" w:hAnsi="Arial" w:cs="Arial"/>
                <w:sz w:val="18"/>
                <w:szCs w:val="18"/>
              </w:rPr>
              <w:t>Minimum Tower Separation</w:t>
            </w:r>
          </w:p>
        </w:tc>
        <w:tc>
          <w:tcPr>
            <w:tcW w:w="2250" w:type="dxa"/>
            <w:tcBorders>
              <w:bottom w:val="threeDEmboss" w:sz="24" w:space="0" w:color="808080" w:themeColor="background1" w:themeShade="80"/>
            </w:tcBorders>
            <w:vAlign w:val="center"/>
          </w:tcPr>
          <w:p w14:paraId="01771154" w14:textId="43401015" w:rsidR="00B82EAE" w:rsidRPr="00067AB3"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82EAE">
              <w:rPr>
                <w:rFonts w:ascii="Arial" w:hAnsi="Arial" w:cs="Arial"/>
                <w:sz w:val="18"/>
                <w:szCs w:val="18"/>
              </w:rPr>
              <w:t>30 Feet</w:t>
            </w:r>
          </w:p>
        </w:tc>
        <w:tc>
          <w:tcPr>
            <w:tcW w:w="2070" w:type="dxa"/>
            <w:tcBorders>
              <w:bottom w:val="threeDEmboss" w:sz="24" w:space="0" w:color="808080" w:themeColor="background1" w:themeShade="80"/>
            </w:tcBorders>
            <w:vAlign w:val="center"/>
          </w:tcPr>
          <w:p w14:paraId="4FE06B60" w14:textId="2DD9F89A" w:rsidR="00B82EAE" w:rsidRPr="00067AB3"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0474">
              <w:rPr>
                <w:rFonts w:ascii="Arial" w:eastAsia="Calibri" w:hAnsi="Arial" w:cs="Arial"/>
                <w:color w:val="000000"/>
                <w:sz w:val="18"/>
                <w:szCs w:val="18"/>
              </w:rPr>
              <w:t>32 Feet</w:t>
            </w:r>
          </w:p>
        </w:tc>
        <w:tc>
          <w:tcPr>
            <w:tcW w:w="2700" w:type="dxa"/>
            <w:tcBorders>
              <w:bottom w:val="threeDEmboss" w:sz="24" w:space="0" w:color="808080" w:themeColor="background1" w:themeShade="80"/>
            </w:tcBorders>
            <w:vAlign w:val="center"/>
          </w:tcPr>
          <w:p w14:paraId="3DCB6EB7" w14:textId="01466B3B" w:rsidR="00B82EAE" w:rsidRPr="00067AB3" w:rsidRDefault="00B82EAE" w:rsidP="001B4B9D">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Complies</w:t>
            </w:r>
          </w:p>
        </w:tc>
      </w:tr>
    </w:tbl>
    <w:p w14:paraId="14570129" w14:textId="77777777" w:rsidR="00A7549E" w:rsidRDefault="00A7549E" w:rsidP="007B2733">
      <w:pPr>
        <w:spacing w:after="0"/>
        <w:jc w:val="both"/>
        <w:rPr>
          <w:rFonts w:ascii="Arial" w:hAnsi="Arial" w:cs="Arial"/>
          <w:b/>
          <w:u w:val="single"/>
        </w:rPr>
      </w:pPr>
    </w:p>
    <w:p w14:paraId="3FCB0375" w14:textId="55F81357" w:rsidR="007B2733" w:rsidRPr="008140ED" w:rsidRDefault="004A68BA" w:rsidP="007B2733">
      <w:pPr>
        <w:spacing w:after="0"/>
        <w:jc w:val="both"/>
        <w:rPr>
          <w:rFonts w:ascii="Arial" w:hAnsi="Arial" w:cs="Arial"/>
          <w:i/>
          <w:iCs/>
        </w:rPr>
      </w:pPr>
      <w:r w:rsidRPr="004A68BA">
        <w:rPr>
          <w:rFonts w:ascii="Arial" w:hAnsi="Arial" w:cs="Arial"/>
          <w:b/>
          <w:bCs/>
          <w:sz w:val="24"/>
          <w:szCs w:val="24"/>
          <w:u w:val="single"/>
        </w:rPr>
        <w:t>Adequacy and Neighborhood Compatibility</w:t>
      </w:r>
      <w:r w:rsidRPr="004A68BA">
        <w:rPr>
          <w:rFonts w:ascii="Arial" w:hAnsi="Arial" w:cs="Arial"/>
          <w:sz w:val="24"/>
          <w:szCs w:val="24"/>
        </w:rPr>
        <w:t xml:space="preserve"> </w:t>
      </w:r>
      <w:r w:rsidR="007B2733" w:rsidRPr="004A68BA">
        <w:rPr>
          <w:rFonts w:ascii="Arial" w:hAnsi="Arial" w:cs="Arial"/>
          <w:sz w:val="24"/>
          <w:szCs w:val="24"/>
        </w:rPr>
        <w:t xml:space="preserve">   </w:t>
      </w:r>
      <w:r w:rsidR="007B2733" w:rsidRPr="008140ED">
        <w:rPr>
          <w:rFonts w:ascii="Arial" w:hAnsi="Arial" w:cs="Arial"/>
        </w:rPr>
        <w:t xml:space="preserve"> </w:t>
      </w:r>
    </w:p>
    <w:p w14:paraId="24804544" w14:textId="40FE8DE3" w:rsidR="005C63AF" w:rsidRDefault="007B2733" w:rsidP="008F3241">
      <w:pPr>
        <w:spacing w:after="0" w:line="240" w:lineRule="auto"/>
        <w:jc w:val="both"/>
        <w:rPr>
          <w:rFonts w:ascii="Arial" w:hAnsi="Arial" w:cs="Arial"/>
          <w:sz w:val="24"/>
          <w:szCs w:val="24"/>
        </w:rPr>
      </w:pPr>
      <w:r w:rsidRPr="005C63AF">
        <w:rPr>
          <w:rFonts w:ascii="Arial" w:hAnsi="Arial" w:cs="Arial"/>
          <w:sz w:val="24"/>
          <w:szCs w:val="24"/>
        </w:rPr>
        <w:t xml:space="preserve">The adequacy criteria of ULDR Section 47-25.2 are used to evaluate the demand created on public services and facilities by a proposed development. Water and wastewater are serviced by the City of Fort Lauderdale. </w:t>
      </w:r>
      <w:r w:rsidR="00C80566">
        <w:rPr>
          <w:rFonts w:ascii="Arial" w:hAnsi="Arial" w:cs="Arial"/>
          <w:sz w:val="24"/>
          <w:szCs w:val="24"/>
        </w:rPr>
        <w:t>T</w:t>
      </w:r>
      <w:r w:rsidR="00C80566" w:rsidRPr="005C63AF">
        <w:rPr>
          <w:rFonts w:ascii="Arial" w:hAnsi="Arial" w:cs="Arial"/>
          <w:sz w:val="24"/>
          <w:szCs w:val="24"/>
        </w:rPr>
        <w:t xml:space="preserve">he </w:t>
      </w:r>
      <w:r w:rsidRPr="005C63AF">
        <w:rPr>
          <w:rFonts w:ascii="Arial" w:hAnsi="Arial" w:cs="Arial"/>
          <w:sz w:val="24"/>
          <w:szCs w:val="24"/>
        </w:rPr>
        <w:t xml:space="preserve">City’s Public Works Department </w:t>
      </w:r>
      <w:r w:rsidR="00C80566">
        <w:rPr>
          <w:rFonts w:ascii="Arial" w:hAnsi="Arial" w:cs="Arial"/>
          <w:sz w:val="24"/>
          <w:szCs w:val="24"/>
        </w:rPr>
        <w:t xml:space="preserve">issued a capacity letter </w:t>
      </w:r>
      <w:r w:rsidRPr="005C63AF">
        <w:rPr>
          <w:rFonts w:ascii="Arial" w:hAnsi="Arial" w:cs="Arial"/>
          <w:sz w:val="24"/>
          <w:szCs w:val="24"/>
        </w:rPr>
        <w:t xml:space="preserve">on </w:t>
      </w:r>
      <w:r w:rsidR="0088008E">
        <w:rPr>
          <w:rFonts w:ascii="Arial" w:hAnsi="Arial" w:cs="Arial"/>
          <w:sz w:val="24"/>
          <w:szCs w:val="24"/>
        </w:rPr>
        <w:t>September 24</w:t>
      </w:r>
      <w:r w:rsidRPr="005C63AF">
        <w:rPr>
          <w:rFonts w:ascii="Arial" w:hAnsi="Arial" w:cs="Arial"/>
          <w:sz w:val="24"/>
          <w:szCs w:val="24"/>
        </w:rPr>
        <w:t xml:space="preserve">, 2025, which states that </w:t>
      </w:r>
      <w:r w:rsidR="00240E51" w:rsidRPr="00240E51">
        <w:rPr>
          <w:rFonts w:ascii="Arial" w:hAnsi="Arial" w:cs="Arial"/>
          <w:sz w:val="24"/>
          <w:szCs w:val="24"/>
        </w:rPr>
        <w:t>existing infrastructure does not require improvements to meet the increased demands of the proposed project</w:t>
      </w:r>
      <w:r w:rsidRPr="005C63AF">
        <w:rPr>
          <w:rFonts w:ascii="Arial" w:hAnsi="Arial" w:cs="Arial"/>
          <w:sz w:val="24"/>
          <w:szCs w:val="24"/>
        </w:rPr>
        <w:t xml:space="preserve">. The water and sewer capacity letter is attached as Exhibit </w:t>
      </w:r>
      <w:r w:rsidR="00FB1330">
        <w:rPr>
          <w:rFonts w:ascii="Arial" w:hAnsi="Arial" w:cs="Arial"/>
          <w:sz w:val="24"/>
          <w:szCs w:val="24"/>
        </w:rPr>
        <w:t>5</w:t>
      </w:r>
      <w:r w:rsidRPr="005C63AF">
        <w:rPr>
          <w:rFonts w:ascii="Arial" w:hAnsi="Arial" w:cs="Arial"/>
          <w:sz w:val="24"/>
          <w:szCs w:val="24"/>
        </w:rPr>
        <w:t>.</w:t>
      </w:r>
    </w:p>
    <w:p w14:paraId="35D755CA" w14:textId="77777777" w:rsidR="008F3241" w:rsidRPr="008F3241" w:rsidRDefault="008F3241" w:rsidP="008F3241">
      <w:pPr>
        <w:spacing w:after="0" w:line="240" w:lineRule="auto"/>
        <w:jc w:val="both"/>
        <w:rPr>
          <w:rFonts w:ascii="Arial" w:hAnsi="Arial" w:cs="Arial"/>
          <w:sz w:val="24"/>
          <w:szCs w:val="24"/>
        </w:rPr>
      </w:pPr>
    </w:p>
    <w:p w14:paraId="6D99DE12" w14:textId="19AA9ED3" w:rsidR="008F3241" w:rsidRDefault="00DA62A9" w:rsidP="008F3241">
      <w:pPr>
        <w:spacing w:line="240" w:lineRule="auto"/>
        <w:jc w:val="both"/>
        <w:rPr>
          <w:rFonts w:ascii="Arial" w:hAnsi="Arial" w:cs="Arial"/>
          <w:sz w:val="24"/>
          <w:szCs w:val="24"/>
        </w:rPr>
      </w:pPr>
      <w:r w:rsidRPr="00DA62A9">
        <w:rPr>
          <w:rFonts w:ascii="Arial" w:hAnsi="Arial" w:cs="Arial"/>
          <w:sz w:val="24"/>
          <w:szCs w:val="24"/>
        </w:rPr>
        <w:t xml:space="preserve">The neighborhood compatibility criteria of ULDR Section 47-25.3 include performance </w:t>
      </w:r>
      <w:r w:rsidRPr="00DA62A9">
        <w:rPr>
          <w:rFonts w:ascii="Arial" w:hAnsi="Arial" w:cs="Arial"/>
          <w:sz w:val="24"/>
          <w:szCs w:val="24"/>
        </w:rPr>
        <w:lastRenderedPageBreak/>
        <w:t xml:space="preserve">standards requiring all developments to be “compatible with, and preserve the character and integrity of adjacent neighborhoods… the development shall include improvements or modifications either on-site or within the public rights-of-way to mitigate adverse impacts, such as traffic, noise, odors, shadow, scale, visual nuisances, or other similar adverse effects to adjacent neighborhoods. These improvements or modifications may include, but shall not be limited to, the placement or orientation of buildings and entryways, parking areas, </w:t>
      </w:r>
      <w:proofErr w:type="spellStart"/>
      <w:r w:rsidRPr="00DA62A9">
        <w:rPr>
          <w:rFonts w:ascii="Arial" w:hAnsi="Arial" w:cs="Arial"/>
          <w:sz w:val="24"/>
          <w:szCs w:val="24"/>
        </w:rPr>
        <w:t>bufferyards</w:t>
      </w:r>
      <w:proofErr w:type="spellEnd"/>
      <w:r w:rsidRPr="00DA62A9">
        <w:rPr>
          <w:rFonts w:ascii="Arial" w:hAnsi="Arial" w:cs="Arial"/>
          <w:sz w:val="24"/>
          <w:szCs w:val="24"/>
        </w:rPr>
        <w:t>, alteration of building mass, and the addition of landscaping, walls, or both, to ameliorate such impacts”.</w:t>
      </w:r>
    </w:p>
    <w:p w14:paraId="5865416D" w14:textId="23EA202A" w:rsidR="00DA62A9" w:rsidRPr="00DA62A9" w:rsidRDefault="00DA62A9" w:rsidP="008F3241">
      <w:pPr>
        <w:spacing w:line="240" w:lineRule="auto"/>
        <w:jc w:val="both"/>
        <w:rPr>
          <w:rFonts w:ascii="Arial" w:hAnsi="Arial" w:cs="Arial"/>
          <w:sz w:val="24"/>
          <w:szCs w:val="24"/>
        </w:rPr>
      </w:pPr>
      <w:r w:rsidRPr="00DA62A9">
        <w:rPr>
          <w:rFonts w:ascii="Arial" w:hAnsi="Arial" w:cs="Arial"/>
          <w:sz w:val="24"/>
          <w:szCs w:val="24"/>
        </w:rPr>
        <w:t xml:space="preserve">The </w:t>
      </w:r>
      <w:r w:rsidR="00C668A6" w:rsidRPr="00C668A6">
        <w:rPr>
          <w:rFonts w:ascii="Arial" w:hAnsi="Arial" w:cs="Arial"/>
          <w:sz w:val="24"/>
          <w:szCs w:val="24"/>
        </w:rPr>
        <w:t>Intracoastal Overlook Area (IOA) District </w:t>
      </w:r>
      <w:r w:rsidR="00AA0D11">
        <w:rPr>
          <w:rFonts w:ascii="Arial" w:hAnsi="Arial" w:cs="Arial"/>
          <w:sz w:val="24"/>
          <w:szCs w:val="24"/>
        </w:rPr>
        <w:t>was</w:t>
      </w:r>
      <w:r w:rsidR="00AA0D11" w:rsidRPr="00AA0D11">
        <w:rPr>
          <w:rFonts w:ascii="Arial" w:hAnsi="Arial" w:cs="Arial"/>
          <w:sz w:val="24"/>
          <w:szCs w:val="24"/>
        </w:rPr>
        <w:t xml:space="preserve"> established for the purpose of encouraging the preservation, maintenance and revitalization of existing structures and uses that front on the eastern Intracoastal Waterway</w:t>
      </w:r>
      <w:r w:rsidR="00923D52">
        <w:rPr>
          <w:rFonts w:ascii="Arial" w:hAnsi="Arial" w:cs="Arial"/>
          <w:sz w:val="24"/>
          <w:szCs w:val="24"/>
        </w:rPr>
        <w:t xml:space="preserve">. </w:t>
      </w:r>
      <w:r w:rsidRPr="00DA62A9">
        <w:rPr>
          <w:rFonts w:ascii="Arial" w:hAnsi="Arial" w:cs="Arial"/>
          <w:sz w:val="24"/>
          <w:szCs w:val="24"/>
        </w:rPr>
        <w:t xml:space="preserve">The properties </w:t>
      </w:r>
      <w:r w:rsidR="00057B83">
        <w:rPr>
          <w:rFonts w:ascii="Arial" w:hAnsi="Arial" w:cs="Arial"/>
          <w:sz w:val="24"/>
          <w:szCs w:val="24"/>
        </w:rPr>
        <w:t>to the north and south of</w:t>
      </w:r>
      <w:r w:rsidRPr="00DA62A9">
        <w:rPr>
          <w:rFonts w:ascii="Arial" w:hAnsi="Arial" w:cs="Arial"/>
          <w:sz w:val="24"/>
          <w:szCs w:val="24"/>
        </w:rPr>
        <w:t xml:space="preserve"> the site are zoned </w:t>
      </w:r>
      <w:r w:rsidR="00A15FDF">
        <w:rPr>
          <w:rFonts w:ascii="Arial" w:hAnsi="Arial" w:cs="Arial"/>
          <w:sz w:val="24"/>
          <w:szCs w:val="24"/>
        </w:rPr>
        <w:t>IOA</w:t>
      </w:r>
      <w:r w:rsidRPr="00DA62A9">
        <w:rPr>
          <w:rFonts w:ascii="Arial" w:hAnsi="Arial" w:cs="Arial"/>
          <w:sz w:val="24"/>
          <w:szCs w:val="24"/>
        </w:rPr>
        <w:t>.</w:t>
      </w:r>
      <w:r w:rsidR="00F20D9A">
        <w:rPr>
          <w:rFonts w:ascii="Arial" w:hAnsi="Arial" w:cs="Arial"/>
          <w:sz w:val="24"/>
          <w:szCs w:val="24"/>
        </w:rPr>
        <w:t xml:space="preserve"> The properties to the east of the site are zoned </w:t>
      </w:r>
      <w:r w:rsidR="00C41913" w:rsidRPr="00C41913">
        <w:rPr>
          <w:rFonts w:ascii="Arial" w:hAnsi="Arial" w:cs="Arial"/>
          <w:sz w:val="24"/>
          <w:szCs w:val="24"/>
        </w:rPr>
        <w:t xml:space="preserve">North Beach Residential Area </w:t>
      </w:r>
      <w:r w:rsidR="00C41913">
        <w:rPr>
          <w:rFonts w:ascii="Arial" w:hAnsi="Arial" w:cs="Arial"/>
          <w:sz w:val="24"/>
          <w:szCs w:val="24"/>
        </w:rPr>
        <w:t>(</w:t>
      </w:r>
      <w:proofErr w:type="spellStart"/>
      <w:r w:rsidR="00C41913">
        <w:rPr>
          <w:rFonts w:ascii="Arial" w:hAnsi="Arial" w:cs="Arial"/>
          <w:sz w:val="24"/>
          <w:szCs w:val="24"/>
        </w:rPr>
        <w:t>NBRA</w:t>
      </w:r>
      <w:proofErr w:type="spellEnd"/>
      <w:r w:rsidR="00C41913">
        <w:rPr>
          <w:rFonts w:ascii="Arial" w:hAnsi="Arial" w:cs="Arial"/>
          <w:sz w:val="24"/>
          <w:szCs w:val="24"/>
        </w:rPr>
        <w:t xml:space="preserve">) </w:t>
      </w:r>
      <w:r w:rsidR="00C41913" w:rsidRPr="00C41913">
        <w:rPr>
          <w:rFonts w:ascii="Arial" w:hAnsi="Arial" w:cs="Arial"/>
          <w:sz w:val="24"/>
          <w:szCs w:val="24"/>
        </w:rPr>
        <w:t>District</w:t>
      </w:r>
      <w:r w:rsidR="00B2448E" w:rsidRPr="00B2448E">
        <w:rPr>
          <w:rFonts w:ascii="Arial" w:hAnsi="Arial" w:cs="Arial"/>
          <w:sz w:val="24"/>
          <w:szCs w:val="24"/>
        </w:rPr>
        <w:t xml:space="preserve"> </w:t>
      </w:r>
      <w:r w:rsidR="00B2448E" w:rsidRPr="00DA62A9">
        <w:rPr>
          <w:rFonts w:ascii="Arial" w:hAnsi="Arial" w:cs="Arial"/>
          <w:sz w:val="24"/>
          <w:szCs w:val="24"/>
        </w:rPr>
        <w:t>and have similar zoning requirements as the subject property</w:t>
      </w:r>
      <w:r w:rsidR="00B2448E">
        <w:rPr>
          <w:rFonts w:ascii="Arial" w:hAnsi="Arial" w:cs="Arial"/>
          <w:sz w:val="24"/>
          <w:szCs w:val="24"/>
        </w:rPr>
        <w:t>.</w:t>
      </w:r>
    </w:p>
    <w:p w14:paraId="1F259D61" w14:textId="6D2CE4EF" w:rsidR="00BF6974" w:rsidRPr="00DE6CDD" w:rsidRDefault="00544008" w:rsidP="004A7421">
      <w:pPr>
        <w:spacing w:after="0" w:line="240" w:lineRule="auto"/>
        <w:jc w:val="both"/>
        <w:rPr>
          <w:rFonts w:ascii="Arial" w:hAnsi="Arial" w:cs="Arial"/>
          <w:sz w:val="24"/>
          <w:szCs w:val="24"/>
        </w:rPr>
      </w:pPr>
      <w:r>
        <w:rPr>
          <w:rFonts w:ascii="Arial" w:hAnsi="Arial" w:cs="Arial"/>
          <w:sz w:val="24"/>
          <w:szCs w:val="24"/>
        </w:rPr>
        <w:t>The</w:t>
      </w:r>
      <w:r w:rsidR="00A81994">
        <w:rPr>
          <w:rFonts w:ascii="Arial" w:hAnsi="Arial" w:cs="Arial"/>
          <w:sz w:val="24"/>
          <w:szCs w:val="24"/>
        </w:rPr>
        <w:t xml:space="preserve"> first floor </w:t>
      </w:r>
      <w:r w:rsidR="00DF32A8">
        <w:rPr>
          <w:rFonts w:ascii="Arial" w:hAnsi="Arial" w:cs="Arial"/>
          <w:sz w:val="24"/>
          <w:szCs w:val="24"/>
        </w:rPr>
        <w:t xml:space="preserve">of the building </w:t>
      </w:r>
      <w:r w:rsidR="00A81994">
        <w:rPr>
          <w:rFonts w:ascii="Arial" w:hAnsi="Arial" w:cs="Arial"/>
          <w:sz w:val="24"/>
          <w:szCs w:val="24"/>
        </w:rPr>
        <w:t>is activated by the residential lobby and feature</w:t>
      </w:r>
      <w:r w:rsidR="00923D52">
        <w:rPr>
          <w:rFonts w:ascii="Arial" w:hAnsi="Arial" w:cs="Arial"/>
          <w:sz w:val="24"/>
          <w:szCs w:val="24"/>
        </w:rPr>
        <w:t>s</w:t>
      </w:r>
      <w:r w:rsidR="00A81994">
        <w:rPr>
          <w:rFonts w:ascii="Arial" w:hAnsi="Arial" w:cs="Arial"/>
          <w:sz w:val="24"/>
          <w:szCs w:val="24"/>
        </w:rPr>
        <w:t xml:space="preserve"> extensive fenestration</w:t>
      </w:r>
      <w:r w:rsidR="00EC208B">
        <w:rPr>
          <w:rFonts w:ascii="Arial" w:hAnsi="Arial" w:cs="Arial"/>
          <w:sz w:val="24"/>
          <w:szCs w:val="24"/>
        </w:rPr>
        <w:t xml:space="preserve"> and </w:t>
      </w:r>
      <w:r w:rsidR="000D2A43">
        <w:rPr>
          <w:rFonts w:ascii="Arial" w:hAnsi="Arial" w:cs="Arial"/>
          <w:sz w:val="24"/>
          <w:szCs w:val="24"/>
        </w:rPr>
        <w:t>sculptural columns</w:t>
      </w:r>
      <w:r w:rsidR="00FF24E4">
        <w:rPr>
          <w:rFonts w:ascii="Arial" w:hAnsi="Arial" w:cs="Arial"/>
          <w:sz w:val="24"/>
          <w:szCs w:val="24"/>
        </w:rPr>
        <w:t xml:space="preserve"> as well as</w:t>
      </w:r>
      <w:r w:rsidR="006B6215">
        <w:rPr>
          <w:rFonts w:ascii="Arial" w:hAnsi="Arial" w:cs="Arial"/>
          <w:sz w:val="24"/>
          <w:szCs w:val="24"/>
        </w:rPr>
        <w:t xml:space="preserve"> </w:t>
      </w:r>
      <w:r w:rsidR="00EC208B">
        <w:rPr>
          <w:rFonts w:ascii="Arial" w:hAnsi="Arial" w:cs="Arial"/>
          <w:sz w:val="24"/>
          <w:szCs w:val="24"/>
        </w:rPr>
        <w:t xml:space="preserve">a </w:t>
      </w:r>
      <w:r w:rsidR="00B0264E">
        <w:rPr>
          <w:rFonts w:ascii="Arial" w:hAnsi="Arial" w:cs="Arial"/>
          <w:sz w:val="24"/>
          <w:szCs w:val="24"/>
        </w:rPr>
        <w:t>variety of materials</w:t>
      </w:r>
      <w:r w:rsidR="006B6215">
        <w:rPr>
          <w:rFonts w:ascii="Arial" w:hAnsi="Arial" w:cs="Arial"/>
          <w:sz w:val="24"/>
          <w:szCs w:val="24"/>
        </w:rPr>
        <w:t xml:space="preserve"> such as</w:t>
      </w:r>
      <w:r w:rsidR="00112381">
        <w:rPr>
          <w:rFonts w:ascii="Arial" w:hAnsi="Arial" w:cs="Arial"/>
          <w:sz w:val="24"/>
          <w:szCs w:val="24"/>
        </w:rPr>
        <w:t xml:space="preserve"> travertine tile</w:t>
      </w:r>
      <w:r w:rsidR="00D70B1D">
        <w:rPr>
          <w:rFonts w:ascii="Arial" w:hAnsi="Arial" w:cs="Arial"/>
          <w:sz w:val="24"/>
          <w:szCs w:val="24"/>
        </w:rPr>
        <w:t>, white brick cladding</w:t>
      </w:r>
      <w:r w:rsidR="009E4C8D">
        <w:rPr>
          <w:rFonts w:ascii="Arial" w:hAnsi="Arial" w:cs="Arial"/>
          <w:sz w:val="24"/>
          <w:szCs w:val="24"/>
        </w:rPr>
        <w:t xml:space="preserve">, </w:t>
      </w:r>
      <w:r w:rsidR="009B084C">
        <w:rPr>
          <w:rFonts w:ascii="Arial" w:hAnsi="Arial" w:cs="Arial"/>
          <w:sz w:val="24"/>
          <w:szCs w:val="24"/>
        </w:rPr>
        <w:t xml:space="preserve">and </w:t>
      </w:r>
      <w:r w:rsidR="009E4C8D">
        <w:rPr>
          <w:rFonts w:ascii="Arial" w:hAnsi="Arial" w:cs="Arial"/>
          <w:sz w:val="24"/>
          <w:szCs w:val="24"/>
        </w:rPr>
        <w:t xml:space="preserve">floor to </w:t>
      </w:r>
      <w:r w:rsidR="00C538B6">
        <w:rPr>
          <w:rFonts w:ascii="Arial" w:hAnsi="Arial" w:cs="Arial"/>
          <w:sz w:val="24"/>
          <w:szCs w:val="24"/>
        </w:rPr>
        <w:t>ceiling storefront glass</w:t>
      </w:r>
      <w:r w:rsidR="00BF6974" w:rsidRPr="00DA62A9">
        <w:rPr>
          <w:rFonts w:ascii="Arial" w:hAnsi="Arial" w:cs="Arial"/>
          <w:sz w:val="24"/>
          <w:szCs w:val="24"/>
        </w:rPr>
        <w:t xml:space="preserve">. </w:t>
      </w:r>
      <w:r w:rsidR="0031451B">
        <w:rPr>
          <w:rFonts w:ascii="Arial" w:hAnsi="Arial" w:cs="Arial"/>
          <w:sz w:val="24"/>
          <w:szCs w:val="24"/>
        </w:rPr>
        <w:t xml:space="preserve">A </w:t>
      </w:r>
      <w:r w:rsidR="00F62F21">
        <w:rPr>
          <w:rFonts w:ascii="Arial" w:hAnsi="Arial" w:cs="Arial"/>
          <w:sz w:val="24"/>
          <w:szCs w:val="24"/>
        </w:rPr>
        <w:t>drop</w:t>
      </w:r>
      <w:r w:rsidR="00D56DA0">
        <w:rPr>
          <w:rFonts w:ascii="Arial" w:hAnsi="Arial" w:cs="Arial"/>
          <w:sz w:val="24"/>
          <w:szCs w:val="24"/>
        </w:rPr>
        <w:t>-</w:t>
      </w:r>
      <w:r w:rsidR="00F62F21">
        <w:rPr>
          <w:rFonts w:ascii="Arial" w:hAnsi="Arial" w:cs="Arial"/>
          <w:sz w:val="24"/>
          <w:szCs w:val="24"/>
        </w:rPr>
        <w:t>of</w:t>
      </w:r>
      <w:r w:rsidR="007E7B2D">
        <w:rPr>
          <w:rFonts w:ascii="Arial" w:hAnsi="Arial" w:cs="Arial"/>
          <w:sz w:val="24"/>
          <w:szCs w:val="24"/>
        </w:rPr>
        <w:t xml:space="preserve">f area will be covered with a </w:t>
      </w:r>
      <w:r w:rsidR="00296A66">
        <w:rPr>
          <w:rFonts w:ascii="Arial" w:hAnsi="Arial" w:cs="Arial"/>
          <w:sz w:val="24"/>
          <w:szCs w:val="24"/>
        </w:rPr>
        <w:t xml:space="preserve">sculptural </w:t>
      </w:r>
      <w:proofErr w:type="spellStart"/>
      <w:r w:rsidR="0031451B">
        <w:rPr>
          <w:rFonts w:ascii="Arial" w:hAnsi="Arial" w:cs="Arial"/>
          <w:sz w:val="24"/>
          <w:szCs w:val="24"/>
        </w:rPr>
        <w:t>porte</w:t>
      </w:r>
      <w:proofErr w:type="spellEnd"/>
      <w:r w:rsidR="00C1635E">
        <w:rPr>
          <w:rFonts w:ascii="Arial" w:hAnsi="Arial" w:cs="Arial"/>
          <w:sz w:val="24"/>
          <w:szCs w:val="24"/>
        </w:rPr>
        <w:t xml:space="preserve"> </w:t>
      </w:r>
      <w:r w:rsidR="0031451B">
        <w:rPr>
          <w:rFonts w:ascii="Arial" w:hAnsi="Arial" w:cs="Arial"/>
          <w:sz w:val="24"/>
          <w:szCs w:val="24"/>
        </w:rPr>
        <w:t>cochere</w:t>
      </w:r>
      <w:r w:rsidR="00BD761B">
        <w:rPr>
          <w:rFonts w:ascii="Arial" w:hAnsi="Arial" w:cs="Arial"/>
          <w:sz w:val="24"/>
          <w:szCs w:val="24"/>
        </w:rPr>
        <w:t>. The proposed streetscape will replace back</w:t>
      </w:r>
      <w:r w:rsidR="0020319C">
        <w:rPr>
          <w:rFonts w:ascii="Arial" w:hAnsi="Arial" w:cs="Arial"/>
          <w:sz w:val="24"/>
          <w:szCs w:val="24"/>
        </w:rPr>
        <w:t>-</w:t>
      </w:r>
      <w:r w:rsidR="00BD761B">
        <w:rPr>
          <w:rFonts w:ascii="Arial" w:hAnsi="Arial" w:cs="Arial"/>
          <w:sz w:val="24"/>
          <w:szCs w:val="24"/>
        </w:rPr>
        <w:t>out parking with a five (5)</w:t>
      </w:r>
      <w:r w:rsidR="00B0615C">
        <w:rPr>
          <w:rFonts w:ascii="Arial" w:hAnsi="Arial" w:cs="Arial"/>
          <w:sz w:val="24"/>
          <w:szCs w:val="24"/>
        </w:rPr>
        <w:t xml:space="preserve"> </w:t>
      </w:r>
      <w:r w:rsidR="00BD761B">
        <w:rPr>
          <w:rFonts w:ascii="Arial" w:hAnsi="Arial" w:cs="Arial"/>
          <w:sz w:val="24"/>
          <w:szCs w:val="24"/>
        </w:rPr>
        <w:t xml:space="preserve">foot sidewalk, street trees, </w:t>
      </w:r>
      <w:r w:rsidR="007803A7">
        <w:rPr>
          <w:rFonts w:ascii="Arial" w:hAnsi="Arial" w:cs="Arial"/>
          <w:sz w:val="24"/>
          <w:szCs w:val="24"/>
        </w:rPr>
        <w:t xml:space="preserve">and </w:t>
      </w:r>
      <w:r w:rsidR="00BD761B" w:rsidRPr="00DA62A9">
        <w:rPr>
          <w:rFonts w:ascii="Arial" w:hAnsi="Arial" w:cs="Arial"/>
          <w:sz w:val="24"/>
          <w:szCs w:val="24"/>
        </w:rPr>
        <w:t>pedestrian-scale lighting</w:t>
      </w:r>
      <w:r w:rsidR="000A1482">
        <w:rPr>
          <w:rFonts w:ascii="Arial" w:hAnsi="Arial" w:cs="Arial"/>
          <w:sz w:val="24"/>
          <w:szCs w:val="24"/>
        </w:rPr>
        <w:t xml:space="preserve"> improving the pedestrian experience</w:t>
      </w:r>
      <w:r w:rsidR="00BD761B">
        <w:rPr>
          <w:rFonts w:ascii="Arial" w:hAnsi="Arial" w:cs="Arial"/>
          <w:sz w:val="24"/>
          <w:szCs w:val="24"/>
        </w:rPr>
        <w:t>.</w:t>
      </w:r>
    </w:p>
    <w:p w14:paraId="38C74F24" w14:textId="77777777" w:rsidR="005841B7" w:rsidRDefault="005841B7" w:rsidP="004A7421">
      <w:pPr>
        <w:spacing w:after="0" w:line="240" w:lineRule="auto"/>
        <w:jc w:val="both"/>
        <w:rPr>
          <w:rFonts w:ascii="Arial" w:hAnsi="Arial" w:cs="Arial"/>
          <w:sz w:val="24"/>
          <w:szCs w:val="24"/>
        </w:rPr>
      </w:pPr>
    </w:p>
    <w:p w14:paraId="3E6FD852" w14:textId="4573713B" w:rsidR="00DA62A9" w:rsidRDefault="00BD761B" w:rsidP="005841B7">
      <w:pPr>
        <w:spacing w:after="0" w:line="240" w:lineRule="auto"/>
        <w:jc w:val="both"/>
        <w:rPr>
          <w:rFonts w:ascii="Arial" w:hAnsi="Arial" w:cs="Arial"/>
          <w:sz w:val="24"/>
          <w:szCs w:val="24"/>
        </w:rPr>
      </w:pPr>
      <w:r>
        <w:rPr>
          <w:rFonts w:ascii="Arial" w:hAnsi="Arial" w:cs="Arial"/>
          <w:sz w:val="24"/>
          <w:szCs w:val="24"/>
        </w:rPr>
        <w:t xml:space="preserve">The parking podium </w:t>
      </w:r>
      <w:r w:rsidR="00B4713F">
        <w:rPr>
          <w:rFonts w:ascii="Arial" w:hAnsi="Arial" w:cs="Arial"/>
          <w:sz w:val="24"/>
          <w:szCs w:val="24"/>
        </w:rPr>
        <w:t xml:space="preserve">on </w:t>
      </w:r>
      <w:r w:rsidR="006B7684">
        <w:rPr>
          <w:rFonts w:ascii="Arial" w:hAnsi="Arial" w:cs="Arial"/>
          <w:sz w:val="24"/>
          <w:szCs w:val="24"/>
        </w:rPr>
        <w:t>the second and third floor</w:t>
      </w:r>
      <w:r>
        <w:rPr>
          <w:rFonts w:ascii="Arial" w:hAnsi="Arial" w:cs="Arial"/>
          <w:sz w:val="24"/>
          <w:szCs w:val="24"/>
        </w:rPr>
        <w:t xml:space="preserve"> is screened with </w:t>
      </w:r>
      <w:r w:rsidRPr="00772178">
        <w:rPr>
          <w:rFonts w:ascii="Arial" w:hAnsi="Arial" w:cs="Arial"/>
          <w:sz w:val="24"/>
          <w:szCs w:val="24"/>
        </w:rPr>
        <w:t xml:space="preserve">aluminum slats </w:t>
      </w:r>
      <w:r w:rsidR="00AD2E82">
        <w:rPr>
          <w:rFonts w:ascii="Arial" w:hAnsi="Arial" w:cs="Arial"/>
          <w:sz w:val="24"/>
          <w:szCs w:val="24"/>
        </w:rPr>
        <w:t xml:space="preserve">incorporated into a </w:t>
      </w:r>
      <w:r w:rsidR="009E1C59">
        <w:rPr>
          <w:rFonts w:ascii="Arial" w:hAnsi="Arial" w:cs="Arial"/>
          <w:sz w:val="24"/>
          <w:szCs w:val="24"/>
        </w:rPr>
        <w:t>wave</w:t>
      </w:r>
      <w:r w:rsidR="00AD2E82">
        <w:rPr>
          <w:rFonts w:ascii="Arial" w:hAnsi="Arial" w:cs="Arial"/>
          <w:sz w:val="24"/>
          <w:szCs w:val="24"/>
        </w:rPr>
        <w:t>-like</w:t>
      </w:r>
      <w:r w:rsidR="009E1C59">
        <w:rPr>
          <w:rFonts w:ascii="Arial" w:hAnsi="Arial" w:cs="Arial"/>
          <w:sz w:val="24"/>
          <w:szCs w:val="24"/>
        </w:rPr>
        <w:t xml:space="preserve"> design</w:t>
      </w:r>
      <w:r w:rsidR="00FA789D">
        <w:rPr>
          <w:rFonts w:ascii="Arial" w:hAnsi="Arial" w:cs="Arial"/>
          <w:sz w:val="24"/>
          <w:szCs w:val="24"/>
        </w:rPr>
        <w:t xml:space="preserve"> over perforated aluminum panels</w:t>
      </w:r>
      <w:r w:rsidR="00C30F7A">
        <w:rPr>
          <w:rFonts w:ascii="Arial" w:hAnsi="Arial" w:cs="Arial"/>
          <w:sz w:val="24"/>
          <w:szCs w:val="24"/>
        </w:rPr>
        <w:t xml:space="preserve"> on the east façade </w:t>
      </w:r>
      <w:r w:rsidR="001F6845">
        <w:rPr>
          <w:rFonts w:ascii="Arial" w:hAnsi="Arial" w:cs="Arial"/>
          <w:sz w:val="24"/>
          <w:szCs w:val="24"/>
        </w:rPr>
        <w:t>along</w:t>
      </w:r>
      <w:r w:rsidR="00C30F7A">
        <w:rPr>
          <w:rFonts w:ascii="Arial" w:hAnsi="Arial" w:cs="Arial"/>
          <w:sz w:val="24"/>
          <w:szCs w:val="24"/>
        </w:rPr>
        <w:t xml:space="preserve"> Bayshore Drive and the </w:t>
      </w:r>
      <w:r w:rsidR="001F6845">
        <w:rPr>
          <w:rFonts w:ascii="Arial" w:hAnsi="Arial" w:cs="Arial"/>
          <w:sz w:val="24"/>
          <w:szCs w:val="24"/>
        </w:rPr>
        <w:t xml:space="preserve">west façade along </w:t>
      </w:r>
      <w:r w:rsidR="00C1635E">
        <w:rPr>
          <w:rFonts w:ascii="Arial" w:hAnsi="Arial" w:cs="Arial"/>
          <w:sz w:val="24"/>
          <w:szCs w:val="24"/>
        </w:rPr>
        <w:t xml:space="preserve">the </w:t>
      </w:r>
      <w:r w:rsidR="00C30F7A">
        <w:rPr>
          <w:rFonts w:ascii="Arial" w:hAnsi="Arial" w:cs="Arial"/>
          <w:sz w:val="24"/>
          <w:szCs w:val="24"/>
        </w:rPr>
        <w:t>Intracoastal Waterway</w:t>
      </w:r>
      <w:r w:rsidR="00FA789D">
        <w:rPr>
          <w:rFonts w:ascii="Arial" w:hAnsi="Arial" w:cs="Arial"/>
          <w:sz w:val="24"/>
          <w:szCs w:val="24"/>
        </w:rPr>
        <w:t>.</w:t>
      </w:r>
      <w:r w:rsidR="004A7421">
        <w:rPr>
          <w:rFonts w:ascii="Arial" w:hAnsi="Arial" w:cs="Arial"/>
          <w:sz w:val="24"/>
          <w:szCs w:val="24"/>
        </w:rPr>
        <w:t xml:space="preserve"> </w:t>
      </w:r>
      <w:r w:rsidR="00DA62A9" w:rsidRPr="00DA62A9">
        <w:rPr>
          <w:rFonts w:ascii="Arial" w:hAnsi="Arial" w:cs="Arial"/>
          <w:sz w:val="24"/>
          <w:szCs w:val="24"/>
        </w:rPr>
        <w:t xml:space="preserve">The </w:t>
      </w:r>
      <w:r w:rsidR="00E13317">
        <w:rPr>
          <w:rFonts w:ascii="Arial" w:hAnsi="Arial" w:cs="Arial"/>
          <w:sz w:val="24"/>
          <w:szCs w:val="24"/>
        </w:rPr>
        <w:t xml:space="preserve">building </w:t>
      </w:r>
      <w:r w:rsidR="00DF2046">
        <w:rPr>
          <w:rFonts w:ascii="Arial" w:hAnsi="Arial" w:cs="Arial"/>
          <w:sz w:val="24"/>
          <w:szCs w:val="24"/>
        </w:rPr>
        <w:t xml:space="preserve">tower </w:t>
      </w:r>
      <w:r w:rsidR="00C67DBC">
        <w:rPr>
          <w:rFonts w:ascii="Arial" w:hAnsi="Arial" w:cs="Arial"/>
          <w:sz w:val="24"/>
          <w:szCs w:val="24"/>
        </w:rPr>
        <w:t xml:space="preserve">contains multifamily residential units on floors four (4) to </w:t>
      </w:r>
      <w:r w:rsidR="0042401A">
        <w:rPr>
          <w:rFonts w:ascii="Arial" w:hAnsi="Arial" w:cs="Arial"/>
          <w:sz w:val="24"/>
          <w:szCs w:val="24"/>
        </w:rPr>
        <w:t xml:space="preserve">twelve (12) and </w:t>
      </w:r>
      <w:r w:rsidR="00DF2046">
        <w:rPr>
          <w:rFonts w:ascii="Arial" w:hAnsi="Arial" w:cs="Arial"/>
          <w:sz w:val="24"/>
          <w:szCs w:val="24"/>
        </w:rPr>
        <w:t xml:space="preserve">is activated with </w:t>
      </w:r>
      <w:r w:rsidR="007C23D0">
        <w:rPr>
          <w:rFonts w:ascii="Arial" w:hAnsi="Arial" w:cs="Arial"/>
          <w:sz w:val="24"/>
          <w:szCs w:val="24"/>
        </w:rPr>
        <w:t xml:space="preserve">angled, </w:t>
      </w:r>
      <w:r w:rsidR="00DF2046">
        <w:rPr>
          <w:rFonts w:ascii="Arial" w:hAnsi="Arial" w:cs="Arial"/>
          <w:sz w:val="24"/>
          <w:szCs w:val="24"/>
        </w:rPr>
        <w:t>glass balconies</w:t>
      </w:r>
      <w:r w:rsidR="007C23D0">
        <w:rPr>
          <w:rFonts w:ascii="Arial" w:hAnsi="Arial" w:cs="Arial"/>
          <w:sz w:val="24"/>
          <w:szCs w:val="24"/>
        </w:rPr>
        <w:t>.</w:t>
      </w:r>
      <w:r w:rsidR="00DA62A9" w:rsidRPr="00DA62A9">
        <w:rPr>
          <w:rFonts w:ascii="Arial" w:hAnsi="Arial" w:cs="Arial"/>
          <w:sz w:val="24"/>
          <w:szCs w:val="24"/>
        </w:rPr>
        <w:t xml:space="preserve"> </w:t>
      </w:r>
      <w:r w:rsidR="00A23A24">
        <w:rPr>
          <w:rFonts w:ascii="Arial" w:hAnsi="Arial" w:cs="Arial"/>
          <w:sz w:val="24"/>
          <w:szCs w:val="24"/>
        </w:rPr>
        <w:t xml:space="preserve">The applicant worked with staff to include vertical frame elements to </w:t>
      </w:r>
      <w:r w:rsidR="009006FC">
        <w:rPr>
          <w:rFonts w:ascii="Arial" w:hAnsi="Arial" w:cs="Arial"/>
          <w:sz w:val="24"/>
          <w:szCs w:val="24"/>
        </w:rPr>
        <w:t xml:space="preserve">visually </w:t>
      </w:r>
      <w:r w:rsidR="00A23A24">
        <w:rPr>
          <w:rFonts w:ascii="Arial" w:hAnsi="Arial" w:cs="Arial"/>
          <w:sz w:val="24"/>
          <w:szCs w:val="24"/>
        </w:rPr>
        <w:t>break up the massing</w:t>
      </w:r>
      <w:r w:rsidR="001B6C44">
        <w:rPr>
          <w:rFonts w:ascii="Arial" w:hAnsi="Arial" w:cs="Arial"/>
          <w:sz w:val="24"/>
          <w:szCs w:val="24"/>
        </w:rPr>
        <w:t xml:space="preserve"> </w:t>
      </w:r>
      <w:r w:rsidR="00C1635E">
        <w:rPr>
          <w:rFonts w:ascii="Arial" w:hAnsi="Arial" w:cs="Arial"/>
          <w:sz w:val="24"/>
          <w:szCs w:val="24"/>
        </w:rPr>
        <w:t>o</w:t>
      </w:r>
      <w:r w:rsidR="001B6C44">
        <w:rPr>
          <w:rFonts w:ascii="Arial" w:hAnsi="Arial" w:cs="Arial"/>
          <w:sz w:val="24"/>
          <w:szCs w:val="24"/>
        </w:rPr>
        <w:t>f the building</w:t>
      </w:r>
      <w:r w:rsidR="00296A66">
        <w:rPr>
          <w:rFonts w:ascii="Arial" w:hAnsi="Arial" w:cs="Arial"/>
          <w:sz w:val="24"/>
          <w:szCs w:val="24"/>
        </w:rPr>
        <w:t>.</w:t>
      </w:r>
      <w:r w:rsidR="009006FC">
        <w:rPr>
          <w:rFonts w:ascii="Arial" w:hAnsi="Arial" w:cs="Arial"/>
          <w:sz w:val="24"/>
          <w:szCs w:val="24"/>
        </w:rPr>
        <w:t xml:space="preserve"> </w:t>
      </w:r>
      <w:r w:rsidR="00AB655A">
        <w:rPr>
          <w:rFonts w:ascii="Arial" w:hAnsi="Arial" w:cs="Arial"/>
          <w:sz w:val="24"/>
          <w:szCs w:val="24"/>
        </w:rPr>
        <w:t>An ame</w:t>
      </w:r>
      <w:r w:rsidR="00834800">
        <w:rPr>
          <w:rFonts w:ascii="Arial" w:hAnsi="Arial" w:cs="Arial"/>
          <w:sz w:val="24"/>
          <w:szCs w:val="24"/>
        </w:rPr>
        <w:t>nity deck on the rooftop features a pool and clubhouse</w:t>
      </w:r>
      <w:r w:rsidR="004C3822">
        <w:rPr>
          <w:rFonts w:ascii="Arial" w:hAnsi="Arial" w:cs="Arial"/>
          <w:sz w:val="24"/>
          <w:szCs w:val="24"/>
        </w:rPr>
        <w:t xml:space="preserve"> with a glass railing surrounding the deck area</w:t>
      </w:r>
      <w:r w:rsidR="00834800">
        <w:rPr>
          <w:rFonts w:ascii="Arial" w:hAnsi="Arial" w:cs="Arial"/>
          <w:sz w:val="24"/>
          <w:szCs w:val="24"/>
        </w:rPr>
        <w:t xml:space="preserve">. </w:t>
      </w:r>
      <w:r w:rsidR="009A3E60">
        <w:rPr>
          <w:rFonts w:ascii="Arial" w:hAnsi="Arial" w:cs="Arial"/>
          <w:sz w:val="24"/>
          <w:szCs w:val="24"/>
        </w:rPr>
        <w:t xml:space="preserve">The </w:t>
      </w:r>
      <w:r w:rsidR="00922A37">
        <w:rPr>
          <w:rFonts w:ascii="Arial" w:hAnsi="Arial" w:cs="Arial"/>
          <w:sz w:val="24"/>
          <w:szCs w:val="24"/>
        </w:rPr>
        <w:t xml:space="preserve">rooftop </w:t>
      </w:r>
      <w:r w:rsidR="009A3E60">
        <w:rPr>
          <w:rFonts w:ascii="Arial" w:hAnsi="Arial" w:cs="Arial"/>
          <w:sz w:val="24"/>
          <w:szCs w:val="24"/>
        </w:rPr>
        <w:t>clubhouse is enclosed with the same storefront glass as the ground floor</w:t>
      </w:r>
      <w:r w:rsidR="00067419">
        <w:rPr>
          <w:rFonts w:ascii="Arial" w:hAnsi="Arial" w:cs="Arial"/>
          <w:sz w:val="24"/>
          <w:szCs w:val="24"/>
        </w:rPr>
        <w:t>,</w:t>
      </w:r>
      <w:r w:rsidR="009A3E60">
        <w:rPr>
          <w:rFonts w:ascii="Arial" w:hAnsi="Arial" w:cs="Arial"/>
          <w:sz w:val="24"/>
          <w:szCs w:val="24"/>
        </w:rPr>
        <w:t xml:space="preserve"> </w:t>
      </w:r>
      <w:r w:rsidR="008C5D6C">
        <w:rPr>
          <w:rFonts w:ascii="Arial" w:hAnsi="Arial" w:cs="Arial"/>
          <w:sz w:val="24"/>
          <w:szCs w:val="24"/>
        </w:rPr>
        <w:t xml:space="preserve">and the </w:t>
      </w:r>
      <w:r w:rsidR="009A3E60">
        <w:rPr>
          <w:rFonts w:ascii="Arial" w:hAnsi="Arial" w:cs="Arial"/>
          <w:sz w:val="24"/>
          <w:szCs w:val="24"/>
        </w:rPr>
        <w:t>mechanical equipment is screened by metal mesh material</w:t>
      </w:r>
      <w:r w:rsidR="00F82D7E">
        <w:rPr>
          <w:rFonts w:ascii="Arial" w:hAnsi="Arial" w:cs="Arial"/>
          <w:sz w:val="24"/>
          <w:szCs w:val="24"/>
        </w:rPr>
        <w:t xml:space="preserve"> with vertical slats</w:t>
      </w:r>
      <w:r w:rsidR="00150241">
        <w:rPr>
          <w:rFonts w:ascii="Arial" w:hAnsi="Arial" w:cs="Arial"/>
          <w:sz w:val="24"/>
          <w:szCs w:val="24"/>
        </w:rPr>
        <w:t>,</w:t>
      </w:r>
      <w:r w:rsidR="00BD10FF">
        <w:rPr>
          <w:rFonts w:ascii="Arial" w:hAnsi="Arial" w:cs="Arial"/>
          <w:sz w:val="24"/>
          <w:szCs w:val="24"/>
        </w:rPr>
        <w:t xml:space="preserve"> similar to the garage screening</w:t>
      </w:r>
      <w:r w:rsidR="009A3E60">
        <w:rPr>
          <w:rFonts w:ascii="Arial" w:hAnsi="Arial" w:cs="Arial"/>
          <w:sz w:val="24"/>
          <w:szCs w:val="24"/>
        </w:rPr>
        <w:t xml:space="preserve">. </w:t>
      </w:r>
      <w:r w:rsidR="00834800">
        <w:rPr>
          <w:rFonts w:ascii="Arial" w:hAnsi="Arial" w:cs="Arial"/>
          <w:sz w:val="24"/>
          <w:szCs w:val="24"/>
        </w:rPr>
        <w:t xml:space="preserve">The rooftop is accentuated with tall architectural eyebrow features, providing a focal point for the tower. </w:t>
      </w:r>
      <w:r w:rsidR="00DA62A9" w:rsidRPr="00DA62A9">
        <w:rPr>
          <w:rFonts w:ascii="Arial" w:hAnsi="Arial" w:cs="Arial"/>
          <w:sz w:val="24"/>
          <w:szCs w:val="24"/>
        </w:rPr>
        <w:t>The ground floor</w:t>
      </w:r>
      <w:r w:rsidR="00F64001">
        <w:rPr>
          <w:rFonts w:ascii="Arial" w:hAnsi="Arial" w:cs="Arial"/>
          <w:sz w:val="24"/>
          <w:szCs w:val="24"/>
        </w:rPr>
        <w:t xml:space="preserve"> </w:t>
      </w:r>
      <w:r w:rsidR="004258A9">
        <w:rPr>
          <w:rFonts w:ascii="Arial" w:hAnsi="Arial" w:cs="Arial"/>
          <w:sz w:val="24"/>
          <w:szCs w:val="24"/>
        </w:rPr>
        <w:t xml:space="preserve">at the rear of the building </w:t>
      </w:r>
      <w:r w:rsidR="00B27E40">
        <w:rPr>
          <w:rFonts w:ascii="Arial" w:hAnsi="Arial" w:cs="Arial"/>
          <w:sz w:val="24"/>
          <w:szCs w:val="24"/>
        </w:rPr>
        <w:t>along the Intracoastal Waterway</w:t>
      </w:r>
      <w:r w:rsidR="004258A9">
        <w:rPr>
          <w:rFonts w:ascii="Arial" w:hAnsi="Arial" w:cs="Arial"/>
          <w:sz w:val="24"/>
          <w:szCs w:val="24"/>
        </w:rPr>
        <w:t xml:space="preserve"> </w:t>
      </w:r>
      <w:r w:rsidR="00F64001">
        <w:rPr>
          <w:rFonts w:ascii="Arial" w:hAnsi="Arial" w:cs="Arial"/>
          <w:sz w:val="24"/>
          <w:szCs w:val="24"/>
        </w:rPr>
        <w:t xml:space="preserve">includes </w:t>
      </w:r>
      <w:r w:rsidR="00690E85">
        <w:rPr>
          <w:rFonts w:ascii="Arial" w:hAnsi="Arial" w:cs="Arial"/>
          <w:sz w:val="24"/>
          <w:szCs w:val="24"/>
        </w:rPr>
        <w:t xml:space="preserve">additional </w:t>
      </w:r>
      <w:r w:rsidR="004F5980">
        <w:rPr>
          <w:rFonts w:ascii="Arial" w:hAnsi="Arial" w:cs="Arial"/>
          <w:sz w:val="24"/>
          <w:szCs w:val="24"/>
        </w:rPr>
        <w:t xml:space="preserve">residential amenities </w:t>
      </w:r>
      <w:r w:rsidR="00690E85">
        <w:rPr>
          <w:rFonts w:ascii="Arial" w:hAnsi="Arial" w:cs="Arial"/>
          <w:sz w:val="24"/>
          <w:szCs w:val="24"/>
        </w:rPr>
        <w:t>including a</w:t>
      </w:r>
      <w:r w:rsidR="00F2199D">
        <w:rPr>
          <w:rFonts w:ascii="Arial" w:hAnsi="Arial" w:cs="Arial"/>
          <w:sz w:val="24"/>
          <w:szCs w:val="24"/>
        </w:rPr>
        <w:t xml:space="preserve"> pool, pool deck</w:t>
      </w:r>
      <w:r w:rsidR="001B7800">
        <w:rPr>
          <w:rFonts w:ascii="Arial" w:hAnsi="Arial" w:cs="Arial"/>
          <w:sz w:val="24"/>
          <w:szCs w:val="24"/>
        </w:rPr>
        <w:t>,</w:t>
      </w:r>
      <w:r w:rsidR="00923D52">
        <w:rPr>
          <w:rFonts w:ascii="Arial" w:hAnsi="Arial" w:cs="Arial"/>
          <w:sz w:val="24"/>
          <w:szCs w:val="24"/>
        </w:rPr>
        <w:t xml:space="preserve"> </w:t>
      </w:r>
      <w:r w:rsidR="00F2199D">
        <w:rPr>
          <w:rFonts w:ascii="Arial" w:hAnsi="Arial" w:cs="Arial"/>
          <w:sz w:val="24"/>
          <w:szCs w:val="24"/>
        </w:rPr>
        <w:t>cabanas</w:t>
      </w:r>
      <w:r w:rsidR="001B7800">
        <w:rPr>
          <w:rFonts w:ascii="Arial" w:hAnsi="Arial" w:cs="Arial"/>
          <w:sz w:val="24"/>
          <w:szCs w:val="24"/>
        </w:rPr>
        <w:t xml:space="preserve"> and landscaping</w:t>
      </w:r>
      <w:r w:rsidR="00E95DD0">
        <w:rPr>
          <w:rFonts w:ascii="Arial" w:hAnsi="Arial" w:cs="Arial"/>
          <w:sz w:val="24"/>
          <w:szCs w:val="24"/>
        </w:rPr>
        <w:t>.</w:t>
      </w:r>
      <w:r w:rsidR="00DA62A9" w:rsidRPr="00DA62A9">
        <w:rPr>
          <w:rFonts w:ascii="Arial" w:hAnsi="Arial" w:cs="Arial"/>
          <w:sz w:val="24"/>
          <w:szCs w:val="24"/>
        </w:rPr>
        <w:t xml:space="preserve"> </w:t>
      </w:r>
    </w:p>
    <w:p w14:paraId="55D12FAE" w14:textId="77777777" w:rsidR="005841B7" w:rsidRDefault="005841B7" w:rsidP="00B741D6">
      <w:pPr>
        <w:spacing w:after="0"/>
        <w:jc w:val="both"/>
        <w:rPr>
          <w:rFonts w:ascii="Arial" w:hAnsi="Arial" w:cs="Arial"/>
          <w:b/>
          <w:bCs/>
          <w:u w:val="single"/>
        </w:rPr>
      </w:pPr>
    </w:p>
    <w:p w14:paraId="148548C5" w14:textId="7791E96A" w:rsidR="00B741D6" w:rsidRPr="004A68BA" w:rsidRDefault="004A68BA" w:rsidP="00B741D6">
      <w:pPr>
        <w:spacing w:after="0"/>
        <w:jc w:val="both"/>
        <w:rPr>
          <w:rFonts w:ascii="Arial" w:hAnsi="Arial" w:cs="Arial"/>
          <w:b/>
          <w:bCs/>
          <w:sz w:val="24"/>
          <w:szCs w:val="24"/>
          <w:u w:val="single"/>
        </w:rPr>
      </w:pPr>
      <w:r w:rsidRPr="004A68BA">
        <w:rPr>
          <w:rFonts w:ascii="Arial" w:hAnsi="Arial" w:cs="Arial"/>
          <w:b/>
          <w:bCs/>
          <w:sz w:val="24"/>
          <w:szCs w:val="24"/>
          <w:u w:val="single"/>
        </w:rPr>
        <w:t>Parking and Transportation</w:t>
      </w:r>
    </w:p>
    <w:p w14:paraId="0BD2B9B7" w14:textId="591BE4F7" w:rsidR="00F77550" w:rsidRDefault="00E64151" w:rsidP="005C63AF">
      <w:pPr>
        <w:spacing w:after="0" w:line="240" w:lineRule="auto"/>
        <w:jc w:val="both"/>
        <w:rPr>
          <w:rFonts w:ascii="Arial" w:hAnsi="Arial" w:cs="Arial"/>
          <w:iCs/>
          <w:spacing w:val="-1"/>
          <w:sz w:val="24"/>
          <w:szCs w:val="24"/>
        </w:rPr>
      </w:pPr>
      <w:r w:rsidRPr="005E16DC">
        <w:rPr>
          <w:rFonts w:ascii="Arial" w:hAnsi="Arial" w:cs="Arial"/>
          <w:sz w:val="24"/>
          <w:szCs w:val="24"/>
        </w:rPr>
        <w:t xml:space="preserve">Vehicular access to the site will be provided by </w:t>
      </w:r>
      <w:r w:rsidR="00DF4159">
        <w:rPr>
          <w:rFonts w:ascii="Arial" w:hAnsi="Arial" w:cs="Arial"/>
          <w:sz w:val="24"/>
          <w:szCs w:val="24"/>
        </w:rPr>
        <w:t>a</w:t>
      </w:r>
      <w:r w:rsidRPr="005E16DC">
        <w:rPr>
          <w:rFonts w:ascii="Arial" w:hAnsi="Arial" w:cs="Arial"/>
          <w:sz w:val="24"/>
          <w:szCs w:val="24"/>
        </w:rPr>
        <w:t xml:space="preserve"> full access driveway on Bayshore Drive to the parking garage and the drop-off / pick-up area. A second driveway will be provided on Bayshore Drive </w:t>
      </w:r>
      <w:r w:rsidR="0078253D">
        <w:rPr>
          <w:rFonts w:ascii="Arial" w:hAnsi="Arial" w:cs="Arial"/>
          <w:sz w:val="24"/>
          <w:szCs w:val="24"/>
        </w:rPr>
        <w:t>for</w:t>
      </w:r>
      <w:r w:rsidRPr="005E16DC">
        <w:rPr>
          <w:rFonts w:ascii="Arial" w:hAnsi="Arial" w:cs="Arial"/>
          <w:sz w:val="24"/>
          <w:szCs w:val="24"/>
        </w:rPr>
        <w:t xml:space="preserve"> egress from the drop-off / pickup area.  </w:t>
      </w:r>
      <w:r w:rsidR="00F054F9">
        <w:rPr>
          <w:rFonts w:ascii="Arial" w:hAnsi="Arial" w:cs="Arial"/>
          <w:iCs/>
          <w:spacing w:val="-1"/>
          <w:sz w:val="24"/>
          <w:szCs w:val="24"/>
        </w:rPr>
        <w:t xml:space="preserve">The proposed </w:t>
      </w:r>
      <w:r w:rsidR="0078253D">
        <w:rPr>
          <w:rFonts w:ascii="Arial" w:hAnsi="Arial" w:cs="Arial"/>
          <w:iCs/>
          <w:spacing w:val="-1"/>
          <w:sz w:val="24"/>
          <w:szCs w:val="24"/>
        </w:rPr>
        <w:t>d</w:t>
      </w:r>
      <w:r w:rsidR="0078253D" w:rsidRPr="00093153">
        <w:rPr>
          <w:rFonts w:ascii="Arial" w:hAnsi="Arial" w:cs="Arial"/>
          <w:iCs/>
          <w:spacing w:val="-1"/>
          <w:sz w:val="24"/>
          <w:szCs w:val="24"/>
        </w:rPr>
        <w:t>evelopment</w:t>
      </w:r>
      <w:r w:rsidR="0078253D">
        <w:rPr>
          <w:rFonts w:ascii="Arial" w:hAnsi="Arial" w:cs="Arial"/>
          <w:iCs/>
          <w:spacing w:val="-1"/>
          <w:sz w:val="24"/>
          <w:szCs w:val="24"/>
        </w:rPr>
        <w:t xml:space="preserve"> </w:t>
      </w:r>
      <w:r w:rsidR="00F054F9">
        <w:rPr>
          <w:rFonts w:ascii="Arial" w:hAnsi="Arial" w:cs="Arial"/>
          <w:iCs/>
          <w:spacing w:val="-1"/>
          <w:sz w:val="24"/>
          <w:szCs w:val="24"/>
        </w:rPr>
        <w:t>require</w:t>
      </w:r>
      <w:r w:rsidR="0078253D">
        <w:rPr>
          <w:rFonts w:ascii="Arial" w:hAnsi="Arial" w:cs="Arial"/>
          <w:iCs/>
          <w:spacing w:val="-1"/>
          <w:sz w:val="24"/>
          <w:szCs w:val="24"/>
        </w:rPr>
        <w:t>s</w:t>
      </w:r>
      <w:r w:rsidR="00F054F9">
        <w:rPr>
          <w:rFonts w:ascii="Arial" w:hAnsi="Arial" w:cs="Arial"/>
          <w:iCs/>
          <w:spacing w:val="-1"/>
          <w:sz w:val="24"/>
          <w:szCs w:val="24"/>
        </w:rPr>
        <w:t xml:space="preserve"> </w:t>
      </w:r>
      <w:r w:rsidR="00093153">
        <w:rPr>
          <w:rFonts w:ascii="Arial" w:hAnsi="Arial" w:cs="Arial"/>
          <w:iCs/>
          <w:spacing w:val="-1"/>
          <w:sz w:val="24"/>
          <w:szCs w:val="24"/>
        </w:rPr>
        <w:t>114</w:t>
      </w:r>
      <w:r w:rsidR="00F054F9">
        <w:rPr>
          <w:rFonts w:ascii="Arial" w:hAnsi="Arial" w:cs="Arial"/>
          <w:iCs/>
          <w:spacing w:val="-1"/>
          <w:sz w:val="24"/>
          <w:szCs w:val="24"/>
        </w:rPr>
        <w:t xml:space="preserve"> parking spaces</w:t>
      </w:r>
      <w:r w:rsidR="0078253D">
        <w:rPr>
          <w:rFonts w:ascii="Arial" w:hAnsi="Arial" w:cs="Arial"/>
          <w:iCs/>
          <w:spacing w:val="-1"/>
          <w:sz w:val="24"/>
          <w:szCs w:val="24"/>
        </w:rPr>
        <w:t xml:space="preserve"> and the applicant is providing </w:t>
      </w:r>
      <w:r w:rsidR="008D43FA">
        <w:rPr>
          <w:rFonts w:ascii="Arial" w:hAnsi="Arial" w:cs="Arial"/>
          <w:iCs/>
          <w:spacing w:val="-1"/>
          <w:sz w:val="24"/>
          <w:szCs w:val="24"/>
        </w:rPr>
        <w:t>114</w:t>
      </w:r>
      <w:r w:rsidR="00F054F9">
        <w:rPr>
          <w:rFonts w:ascii="Arial" w:hAnsi="Arial" w:cs="Arial"/>
          <w:iCs/>
          <w:spacing w:val="-1"/>
          <w:sz w:val="24"/>
          <w:szCs w:val="24"/>
        </w:rPr>
        <w:t xml:space="preserve"> parking space</w:t>
      </w:r>
      <w:r w:rsidR="006E5194">
        <w:rPr>
          <w:rFonts w:ascii="Arial" w:hAnsi="Arial" w:cs="Arial"/>
          <w:iCs/>
          <w:spacing w:val="-1"/>
          <w:sz w:val="24"/>
          <w:szCs w:val="24"/>
        </w:rPr>
        <w:t>s</w:t>
      </w:r>
      <w:r w:rsidR="00F054F9">
        <w:rPr>
          <w:rFonts w:ascii="Arial" w:hAnsi="Arial" w:cs="Arial"/>
          <w:iCs/>
          <w:spacing w:val="-1"/>
          <w:sz w:val="24"/>
          <w:szCs w:val="24"/>
        </w:rPr>
        <w:t xml:space="preserve">. </w:t>
      </w:r>
      <w:r w:rsidR="00F77550" w:rsidRPr="00F77550">
        <w:rPr>
          <w:rFonts w:ascii="Arial" w:hAnsi="Arial" w:cs="Arial"/>
          <w:iCs/>
          <w:spacing w:val="-1"/>
          <w:sz w:val="24"/>
          <w:szCs w:val="24"/>
        </w:rPr>
        <w:t xml:space="preserve">A breakdown of parking requirements is provided in Table 1. </w:t>
      </w:r>
    </w:p>
    <w:p w14:paraId="111953BE" w14:textId="77777777" w:rsidR="00EE4414" w:rsidRDefault="00EE4414" w:rsidP="005C63AF">
      <w:pPr>
        <w:spacing w:after="0" w:line="240" w:lineRule="auto"/>
        <w:jc w:val="both"/>
        <w:rPr>
          <w:rFonts w:ascii="Arial" w:hAnsi="Arial" w:cs="Arial"/>
          <w:iCs/>
          <w:spacing w:val="-1"/>
          <w:sz w:val="24"/>
          <w:szCs w:val="24"/>
        </w:rPr>
      </w:pPr>
    </w:p>
    <w:p w14:paraId="2316F1B3" w14:textId="77777777" w:rsidR="004A68BA" w:rsidRDefault="004A68BA" w:rsidP="005C63AF">
      <w:pPr>
        <w:spacing w:after="0" w:line="240" w:lineRule="auto"/>
        <w:jc w:val="both"/>
        <w:rPr>
          <w:rFonts w:ascii="Arial" w:hAnsi="Arial" w:cs="Arial"/>
          <w:iCs/>
          <w:spacing w:val="-1"/>
          <w:sz w:val="24"/>
          <w:szCs w:val="24"/>
        </w:rPr>
      </w:pPr>
    </w:p>
    <w:p w14:paraId="64540742" w14:textId="77777777" w:rsidR="004A68BA" w:rsidRDefault="004A68BA" w:rsidP="005C63AF">
      <w:pPr>
        <w:spacing w:after="0" w:line="240" w:lineRule="auto"/>
        <w:jc w:val="both"/>
        <w:rPr>
          <w:rFonts w:ascii="Arial" w:hAnsi="Arial" w:cs="Arial"/>
          <w:iCs/>
          <w:spacing w:val="-1"/>
          <w:sz w:val="24"/>
          <w:szCs w:val="24"/>
        </w:rPr>
      </w:pPr>
    </w:p>
    <w:p w14:paraId="5BCC3E25" w14:textId="77777777" w:rsidR="004A68BA" w:rsidRPr="00F77550" w:rsidRDefault="004A68BA" w:rsidP="005C63AF">
      <w:pPr>
        <w:spacing w:after="0" w:line="240" w:lineRule="auto"/>
        <w:jc w:val="both"/>
        <w:rPr>
          <w:rFonts w:ascii="Arial" w:hAnsi="Arial" w:cs="Arial"/>
          <w:iCs/>
          <w:spacing w:val="-1"/>
          <w:sz w:val="24"/>
          <w:szCs w:val="24"/>
        </w:rPr>
      </w:pPr>
    </w:p>
    <w:p w14:paraId="52AB870B" w14:textId="34AFD8C6" w:rsidR="00F77550" w:rsidRDefault="00F77550" w:rsidP="004F6F2B">
      <w:pPr>
        <w:pStyle w:val="BodyText3"/>
        <w:tabs>
          <w:tab w:val="left" w:pos="3600"/>
          <w:tab w:val="right" w:pos="6840"/>
        </w:tabs>
        <w:spacing w:after="0" w:line="240" w:lineRule="auto"/>
        <w:jc w:val="both"/>
        <w:rPr>
          <w:rFonts w:ascii="Century Gothic" w:hAnsi="Century Gothic"/>
          <w:b/>
          <w:bCs/>
          <w:sz w:val="18"/>
          <w:szCs w:val="18"/>
        </w:rPr>
      </w:pPr>
      <w:r w:rsidRPr="004A68BA">
        <w:rPr>
          <w:rFonts w:ascii="Century Gothic" w:hAnsi="Century Gothic"/>
          <w:b/>
          <w:bCs/>
          <w:sz w:val="18"/>
          <w:szCs w:val="18"/>
        </w:rPr>
        <w:lastRenderedPageBreak/>
        <w:t>Table 1: Parking Summary</w:t>
      </w:r>
    </w:p>
    <w:p w14:paraId="2CC1E5BB" w14:textId="77777777" w:rsidR="004A68BA" w:rsidRPr="004A68BA" w:rsidRDefault="004A68BA" w:rsidP="004F6F2B">
      <w:pPr>
        <w:pStyle w:val="BodyText3"/>
        <w:tabs>
          <w:tab w:val="left" w:pos="3600"/>
          <w:tab w:val="right" w:pos="6840"/>
        </w:tabs>
        <w:spacing w:after="0" w:line="240" w:lineRule="auto"/>
        <w:jc w:val="both"/>
        <w:rPr>
          <w:rFonts w:ascii="Century Gothic" w:hAnsi="Century Gothic"/>
          <w:b/>
          <w:bCs/>
          <w:sz w:val="10"/>
          <w:szCs w:val="10"/>
        </w:rPr>
      </w:pPr>
    </w:p>
    <w:tbl>
      <w:tblPr>
        <w:tblStyle w:val="TableGrid"/>
        <w:tblW w:w="9360" w:type="dxa"/>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0"/>
        <w:gridCol w:w="1890"/>
        <w:gridCol w:w="2160"/>
        <w:gridCol w:w="2150"/>
      </w:tblGrid>
      <w:tr w:rsidR="00F77550" w:rsidRPr="00CA6003" w14:paraId="2AF4D11F" w14:textId="77777777" w:rsidTr="006F1709">
        <w:trPr>
          <w:trHeight w:val="240"/>
        </w:trPr>
        <w:tc>
          <w:tcPr>
            <w:tcW w:w="3160" w:type="dxa"/>
            <w:tcBorders>
              <w:top w:val="threeDEngrave" w:sz="24" w:space="0" w:color="auto"/>
              <w:bottom w:val="single" w:sz="12" w:space="0" w:color="A6A6A6" w:themeColor="background1" w:themeShade="A6"/>
            </w:tcBorders>
            <w:shd w:val="clear" w:color="auto" w:fill="E0E0E0"/>
          </w:tcPr>
          <w:p w14:paraId="1968806C" w14:textId="77777777" w:rsidR="00F77550" w:rsidRPr="00CA6003" w:rsidRDefault="00F77550" w:rsidP="00AF0DF9">
            <w:pPr>
              <w:jc w:val="both"/>
              <w:rPr>
                <w:rFonts w:ascii="Century Gothic" w:hAnsi="Century Gothic"/>
                <w:b/>
                <w:sz w:val="17"/>
                <w:szCs w:val="17"/>
              </w:rPr>
            </w:pPr>
            <w:r w:rsidRPr="00CA6003">
              <w:rPr>
                <w:rFonts w:ascii="Century Gothic" w:hAnsi="Century Gothic"/>
                <w:b/>
                <w:sz w:val="17"/>
                <w:szCs w:val="17"/>
              </w:rPr>
              <w:t>USE</w:t>
            </w:r>
          </w:p>
        </w:tc>
        <w:tc>
          <w:tcPr>
            <w:tcW w:w="1890" w:type="dxa"/>
            <w:tcBorders>
              <w:top w:val="threeDEngrave" w:sz="24" w:space="0" w:color="auto"/>
              <w:bottom w:val="single" w:sz="12" w:space="0" w:color="A6A6A6" w:themeColor="background1" w:themeShade="A6"/>
            </w:tcBorders>
            <w:shd w:val="clear" w:color="auto" w:fill="E0E0E0"/>
          </w:tcPr>
          <w:p w14:paraId="59137764" w14:textId="5F25BFD4" w:rsidR="00F77550" w:rsidRPr="00CA6003" w:rsidRDefault="002E177D" w:rsidP="00AF0DF9">
            <w:pPr>
              <w:jc w:val="center"/>
              <w:rPr>
                <w:rFonts w:ascii="Century Gothic" w:hAnsi="Century Gothic"/>
                <w:b/>
                <w:sz w:val="17"/>
                <w:szCs w:val="17"/>
              </w:rPr>
            </w:pPr>
            <w:r>
              <w:rPr>
                <w:rFonts w:ascii="Century Gothic" w:hAnsi="Century Gothic"/>
                <w:b/>
                <w:sz w:val="17"/>
                <w:szCs w:val="17"/>
              </w:rPr>
              <w:t xml:space="preserve"> Unit Count</w:t>
            </w:r>
          </w:p>
        </w:tc>
        <w:tc>
          <w:tcPr>
            <w:tcW w:w="2160" w:type="dxa"/>
            <w:tcBorders>
              <w:top w:val="threeDEngrave" w:sz="24" w:space="0" w:color="auto"/>
              <w:bottom w:val="single" w:sz="12" w:space="0" w:color="A6A6A6" w:themeColor="background1" w:themeShade="A6"/>
            </w:tcBorders>
            <w:shd w:val="clear" w:color="auto" w:fill="E0E0E0"/>
          </w:tcPr>
          <w:p w14:paraId="5AD80E18" w14:textId="20C3EF33" w:rsidR="00F77550" w:rsidRPr="00CA6003" w:rsidRDefault="002E177D" w:rsidP="00AF0DF9">
            <w:pPr>
              <w:jc w:val="center"/>
              <w:rPr>
                <w:rFonts w:ascii="Century Gothic" w:hAnsi="Century Gothic"/>
                <w:b/>
                <w:sz w:val="17"/>
                <w:szCs w:val="17"/>
              </w:rPr>
            </w:pPr>
            <w:r>
              <w:rPr>
                <w:rFonts w:ascii="Century Gothic" w:hAnsi="Century Gothic"/>
                <w:b/>
                <w:sz w:val="17"/>
                <w:szCs w:val="17"/>
              </w:rPr>
              <w:t>Required</w:t>
            </w:r>
          </w:p>
        </w:tc>
        <w:tc>
          <w:tcPr>
            <w:tcW w:w="2150" w:type="dxa"/>
            <w:tcBorders>
              <w:top w:val="threeDEngrave" w:sz="24" w:space="0" w:color="auto"/>
              <w:bottom w:val="single" w:sz="12" w:space="0" w:color="A6A6A6" w:themeColor="background1" w:themeShade="A6"/>
            </w:tcBorders>
            <w:shd w:val="clear" w:color="auto" w:fill="E0E0E0"/>
          </w:tcPr>
          <w:p w14:paraId="2DA19599" w14:textId="62BF7613" w:rsidR="00F77550" w:rsidRPr="00CA6003" w:rsidRDefault="002E177D" w:rsidP="00AF0DF9">
            <w:pPr>
              <w:jc w:val="center"/>
              <w:rPr>
                <w:rFonts w:ascii="Century Gothic" w:hAnsi="Century Gothic"/>
                <w:b/>
                <w:sz w:val="17"/>
                <w:szCs w:val="17"/>
              </w:rPr>
            </w:pPr>
            <w:r>
              <w:rPr>
                <w:rFonts w:ascii="Century Gothic" w:hAnsi="Century Gothic"/>
                <w:b/>
                <w:sz w:val="17"/>
                <w:szCs w:val="17"/>
              </w:rPr>
              <w:t>Provided</w:t>
            </w:r>
          </w:p>
        </w:tc>
      </w:tr>
      <w:tr w:rsidR="00F054F9" w:rsidRPr="00CA6003" w14:paraId="50757E44" w14:textId="77777777" w:rsidTr="004A68BA">
        <w:trPr>
          <w:trHeight w:val="348"/>
        </w:trPr>
        <w:tc>
          <w:tcPr>
            <w:tcW w:w="3160" w:type="dxa"/>
            <w:shd w:val="clear" w:color="auto" w:fill="E0E0E0"/>
            <w:vAlign w:val="center"/>
          </w:tcPr>
          <w:p w14:paraId="318CC187" w14:textId="33F4C841" w:rsidR="00F054F9" w:rsidRPr="004A68BA" w:rsidRDefault="005E4D66" w:rsidP="00F054F9">
            <w:pPr>
              <w:rPr>
                <w:rFonts w:ascii="Century Gothic" w:hAnsi="Century Gothic"/>
                <w:b/>
                <w:sz w:val="18"/>
                <w:szCs w:val="18"/>
              </w:rPr>
            </w:pPr>
            <w:r w:rsidRPr="004A68BA">
              <w:rPr>
                <w:rFonts w:ascii="Century Gothic" w:hAnsi="Century Gothic"/>
                <w:b/>
                <w:sz w:val="18"/>
                <w:szCs w:val="18"/>
              </w:rPr>
              <w:t>Two (2) bedroom</w:t>
            </w:r>
            <w:r w:rsidR="006F1709" w:rsidRPr="004A68BA">
              <w:rPr>
                <w:rFonts w:ascii="Century Gothic" w:hAnsi="Century Gothic"/>
                <w:b/>
                <w:sz w:val="18"/>
                <w:szCs w:val="18"/>
              </w:rPr>
              <w:t xml:space="preserve"> x 2 spaces</w:t>
            </w:r>
          </w:p>
        </w:tc>
        <w:tc>
          <w:tcPr>
            <w:tcW w:w="1890" w:type="dxa"/>
            <w:vAlign w:val="center"/>
          </w:tcPr>
          <w:p w14:paraId="7FE92F7B" w14:textId="1E76ED8A" w:rsidR="00F054F9" w:rsidRPr="004A68BA" w:rsidRDefault="00C73633" w:rsidP="00F054F9">
            <w:pPr>
              <w:jc w:val="center"/>
              <w:rPr>
                <w:rFonts w:ascii="Century Gothic" w:hAnsi="Century Gothic"/>
                <w:sz w:val="18"/>
                <w:szCs w:val="18"/>
              </w:rPr>
            </w:pPr>
            <w:r w:rsidRPr="004A68BA">
              <w:rPr>
                <w:rFonts w:ascii="Century Gothic" w:hAnsi="Century Gothic"/>
                <w:sz w:val="18"/>
                <w:szCs w:val="18"/>
              </w:rPr>
              <w:t>4</w:t>
            </w:r>
            <w:r w:rsidR="004274FA" w:rsidRPr="004A68BA">
              <w:rPr>
                <w:rFonts w:ascii="Century Gothic" w:hAnsi="Century Gothic"/>
                <w:sz w:val="18"/>
                <w:szCs w:val="18"/>
              </w:rPr>
              <w:t xml:space="preserve"> </w:t>
            </w:r>
          </w:p>
        </w:tc>
        <w:tc>
          <w:tcPr>
            <w:tcW w:w="2160" w:type="dxa"/>
          </w:tcPr>
          <w:p w14:paraId="2FCF80EA" w14:textId="5AF84FC8" w:rsidR="00F054F9" w:rsidRPr="004A68BA" w:rsidRDefault="00441187" w:rsidP="00F054F9">
            <w:pPr>
              <w:jc w:val="center"/>
              <w:rPr>
                <w:rFonts w:ascii="Century Gothic" w:hAnsi="Century Gothic"/>
                <w:sz w:val="18"/>
                <w:szCs w:val="18"/>
              </w:rPr>
            </w:pPr>
            <w:r w:rsidRPr="004A68BA">
              <w:rPr>
                <w:rFonts w:ascii="Century Gothic" w:hAnsi="Century Gothic"/>
                <w:sz w:val="18"/>
                <w:szCs w:val="18"/>
              </w:rPr>
              <w:t>8</w:t>
            </w:r>
            <w:r w:rsidR="004274FA" w:rsidRPr="004A68BA">
              <w:rPr>
                <w:rFonts w:ascii="Century Gothic" w:hAnsi="Century Gothic"/>
                <w:sz w:val="18"/>
                <w:szCs w:val="18"/>
              </w:rPr>
              <w:t xml:space="preserve"> </w:t>
            </w:r>
          </w:p>
        </w:tc>
        <w:tc>
          <w:tcPr>
            <w:tcW w:w="2150" w:type="dxa"/>
          </w:tcPr>
          <w:p w14:paraId="469154F8" w14:textId="4958EA82" w:rsidR="00F054F9" w:rsidRPr="004A68BA" w:rsidRDefault="004274FA" w:rsidP="00F054F9">
            <w:pPr>
              <w:jc w:val="right"/>
              <w:rPr>
                <w:rFonts w:ascii="Century Gothic" w:hAnsi="Century Gothic"/>
                <w:sz w:val="18"/>
                <w:szCs w:val="18"/>
              </w:rPr>
            </w:pPr>
            <w:r w:rsidRPr="004A68BA">
              <w:rPr>
                <w:rFonts w:ascii="Century Gothic" w:hAnsi="Century Gothic"/>
                <w:sz w:val="18"/>
                <w:szCs w:val="18"/>
              </w:rPr>
              <w:t xml:space="preserve"> </w:t>
            </w:r>
          </w:p>
        </w:tc>
      </w:tr>
      <w:tr w:rsidR="00F054F9" w:rsidRPr="00CA6003" w14:paraId="25A99C81" w14:textId="77777777" w:rsidTr="004A68BA">
        <w:trPr>
          <w:trHeight w:val="350"/>
        </w:trPr>
        <w:tc>
          <w:tcPr>
            <w:tcW w:w="3160" w:type="dxa"/>
            <w:shd w:val="clear" w:color="auto" w:fill="E0E0E0"/>
            <w:vAlign w:val="center"/>
          </w:tcPr>
          <w:p w14:paraId="06B1C064" w14:textId="73B30638" w:rsidR="00F054F9" w:rsidRPr="004A68BA" w:rsidRDefault="005E4D66" w:rsidP="00F054F9">
            <w:pPr>
              <w:rPr>
                <w:rFonts w:ascii="Century Gothic" w:hAnsi="Century Gothic"/>
                <w:b/>
                <w:sz w:val="18"/>
                <w:szCs w:val="18"/>
              </w:rPr>
            </w:pPr>
            <w:r w:rsidRPr="004A68BA">
              <w:rPr>
                <w:rFonts w:ascii="Century Gothic" w:hAnsi="Century Gothic"/>
                <w:b/>
                <w:sz w:val="18"/>
                <w:szCs w:val="18"/>
              </w:rPr>
              <w:t>Three (3) bedroom</w:t>
            </w:r>
            <w:r w:rsidR="006F1709" w:rsidRPr="004A68BA">
              <w:rPr>
                <w:rFonts w:ascii="Century Gothic" w:hAnsi="Century Gothic"/>
                <w:b/>
                <w:sz w:val="18"/>
                <w:szCs w:val="18"/>
              </w:rPr>
              <w:t xml:space="preserve"> x 2.1 spaces</w:t>
            </w:r>
          </w:p>
        </w:tc>
        <w:tc>
          <w:tcPr>
            <w:tcW w:w="1890" w:type="dxa"/>
            <w:vAlign w:val="center"/>
          </w:tcPr>
          <w:p w14:paraId="6C2E6AA2" w14:textId="43A1658D" w:rsidR="00F054F9" w:rsidRPr="004A68BA" w:rsidRDefault="00441187" w:rsidP="00F054F9">
            <w:pPr>
              <w:jc w:val="center"/>
              <w:rPr>
                <w:rFonts w:ascii="Century Gothic" w:hAnsi="Century Gothic"/>
                <w:sz w:val="18"/>
                <w:szCs w:val="18"/>
              </w:rPr>
            </w:pPr>
            <w:r w:rsidRPr="004A68BA">
              <w:rPr>
                <w:rFonts w:ascii="Century Gothic" w:hAnsi="Century Gothic"/>
                <w:sz w:val="18"/>
                <w:szCs w:val="18"/>
              </w:rPr>
              <w:t>4</w:t>
            </w:r>
            <w:r w:rsidR="00C73633" w:rsidRPr="004A68BA">
              <w:rPr>
                <w:rFonts w:ascii="Century Gothic" w:hAnsi="Century Gothic"/>
                <w:sz w:val="18"/>
                <w:szCs w:val="18"/>
              </w:rPr>
              <w:t>6</w:t>
            </w:r>
            <w:r w:rsidR="004274FA" w:rsidRPr="004A68BA">
              <w:rPr>
                <w:rFonts w:ascii="Century Gothic" w:hAnsi="Century Gothic"/>
                <w:sz w:val="18"/>
                <w:szCs w:val="18"/>
              </w:rPr>
              <w:t xml:space="preserve"> </w:t>
            </w:r>
          </w:p>
        </w:tc>
        <w:tc>
          <w:tcPr>
            <w:tcW w:w="2160" w:type="dxa"/>
          </w:tcPr>
          <w:p w14:paraId="4BBDAC6E" w14:textId="70603A3B" w:rsidR="00F054F9" w:rsidRPr="004A68BA" w:rsidRDefault="008B1B7E" w:rsidP="00F054F9">
            <w:pPr>
              <w:jc w:val="center"/>
              <w:rPr>
                <w:rFonts w:ascii="Century Gothic" w:hAnsi="Century Gothic"/>
                <w:sz w:val="18"/>
                <w:szCs w:val="18"/>
              </w:rPr>
            </w:pPr>
            <w:r w:rsidRPr="004A68BA">
              <w:rPr>
                <w:rFonts w:ascii="Century Gothic" w:hAnsi="Century Gothic"/>
                <w:sz w:val="18"/>
                <w:szCs w:val="18"/>
              </w:rPr>
              <w:t>97</w:t>
            </w:r>
          </w:p>
        </w:tc>
        <w:tc>
          <w:tcPr>
            <w:tcW w:w="2150" w:type="dxa"/>
          </w:tcPr>
          <w:p w14:paraId="468CE13C" w14:textId="77777777" w:rsidR="00F054F9" w:rsidRPr="004A68BA" w:rsidRDefault="00F054F9" w:rsidP="00F054F9">
            <w:pPr>
              <w:jc w:val="right"/>
              <w:rPr>
                <w:rFonts w:ascii="Century Gothic" w:hAnsi="Century Gothic"/>
                <w:sz w:val="18"/>
                <w:szCs w:val="18"/>
              </w:rPr>
            </w:pPr>
          </w:p>
        </w:tc>
      </w:tr>
      <w:tr w:rsidR="00F054F9" w:rsidRPr="00CA6003" w14:paraId="3CCA88DD" w14:textId="77777777" w:rsidTr="004A68BA">
        <w:trPr>
          <w:trHeight w:val="350"/>
        </w:trPr>
        <w:tc>
          <w:tcPr>
            <w:tcW w:w="3160" w:type="dxa"/>
            <w:tcBorders>
              <w:bottom w:val="dotted" w:sz="4" w:space="0" w:color="auto"/>
            </w:tcBorders>
            <w:shd w:val="clear" w:color="auto" w:fill="E0E0E0"/>
            <w:vAlign w:val="center"/>
          </w:tcPr>
          <w:p w14:paraId="76E5D54E" w14:textId="604DF79A" w:rsidR="00F054F9" w:rsidRPr="004A68BA" w:rsidRDefault="005E4D66" w:rsidP="00F054F9">
            <w:pPr>
              <w:rPr>
                <w:rFonts w:ascii="Century Gothic" w:hAnsi="Century Gothic"/>
                <w:b/>
                <w:sz w:val="18"/>
                <w:szCs w:val="18"/>
              </w:rPr>
            </w:pPr>
            <w:r w:rsidRPr="004A68BA">
              <w:rPr>
                <w:rFonts w:ascii="Century Gothic" w:hAnsi="Century Gothic"/>
                <w:b/>
                <w:sz w:val="18"/>
                <w:szCs w:val="18"/>
              </w:rPr>
              <w:t xml:space="preserve">Four (4) </w:t>
            </w:r>
            <w:r w:rsidR="002E177D" w:rsidRPr="004A68BA">
              <w:rPr>
                <w:rFonts w:ascii="Century Gothic" w:hAnsi="Century Gothic"/>
                <w:b/>
                <w:sz w:val="18"/>
                <w:szCs w:val="18"/>
              </w:rPr>
              <w:t>bedroom</w:t>
            </w:r>
            <w:r w:rsidR="006F1709" w:rsidRPr="004A68BA">
              <w:rPr>
                <w:rFonts w:ascii="Century Gothic" w:hAnsi="Century Gothic"/>
                <w:b/>
                <w:sz w:val="18"/>
                <w:szCs w:val="18"/>
              </w:rPr>
              <w:t xml:space="preserve"> x 2.2 spaces</w:t>
            </w:r>
          </w:p>
        </w:tc>
        <w:tc>
          <w:tcPr>
            <w:tcW w:w="1890" w:type="dxa"/>
            <w:tcBorders>
              <w:bottom w:val="dotted" w:sz="4" w:space="0" w:color="auto"/>
            </w:tcBorders>
            <w:vAlign w:val="center"/>
          </w:tcPr>
          <w:p w14:paraId="6A35065F" w14:textId="53837C68" w:rsidR="00F054F9" w:rsidRPr="004A68BA" w:rsidRDefault="008B1B7E" w:rsidP="00F054F9">
            <w:pPr>
              <w:jc w:val="center"/>
              <w:rPr>
                <w:rFonts w:ascii="Century Gothic" w:hAnsi="Century Gothic"/>
                <w:sz w:val="18"/>
                <w:szCs w:val="18"/>
              </w:rPr>
            </w:pPr>
            <w:r w:rsidRPr="004A68BA">
              <w:rPr>
                <w:rFonts w:ascii="Century Gothic" w:hAnsi="Century Gothic"/>
                <w:sz w:val="18"/>
                <w:szCs w:val="18"/>
              </w:rPr>
              <w:t>4</w:t>
            </w:r>
            <w:r w:rsidR="004274FA" w:rsidRPr="004A68BA">
              <w:rPr>
                <w:rFonts w:ascii="Century Gothic" w:hAnsi="Century Gothic"/>
                <w:sz w:val="18"/>
                <w:szCs w:val="18"/>
              </w:rPr>
              <w:t xml:space="preserve"> </w:t>
            </w:r>
          </w:p>
        </w:tc>
        <w:tc>
          <w:tcPr>
            <w:tcW w:w="2160" w:type="dxa"/>
            <w:tcBorders>
              <w:bottom w:val="dotted" w:sz="4" w:space="0" w:color="auto"/>
            </w:tcBorders>
          </w:tcPr>
          <w:p w14:paraId="0F42603A" w14:textId="70267A79" w:rsidR="00F054F9" w:rsidRPr="004A68BA" w:rsidRDefault="008B1B7E" w:rsidP="00F054F9">
            <w:pPr>
              <w:jc w:val="center"/>
              <w:rPr>
                <w:rFonts w:ascii="Century Gothic" w:hAnsi="Century Gothic"/>
                <w:sz w:val="18"/>
                <w:szCs w:val="18"/>
              </w:rPr>
            </w:pPr>
            <w:r w:rsidRPr="004A68BA">
              <w:rPr>
                <w:rFonts w:ascii="Century Gothic" w:hAnsi="Century Gothic"/>
                <w:sz w:val="18"/>
                <w:szCs w:val="18"/>
              </w:rPr>
              <w:t>9</w:t>
            </w:r>
            <w:r w:rsidR="004274FA" w:rsidRPr="004A68BA">
              <w:rPr>
                <w:rFonts w:ascii="Century Gothic" w:hAnsi="Century Gothic"/>
                <w:sz w:val="18"/>
                <w:szCs w:val="18"/>
              </w:rPr>
              <w:t xml:space="preserve"> </w:t>
            </w:r>
          </w:p>
        </w:tc>
        <w:tc>
          <w:tcPr>
            <w:tcW w:w="2150" w:type="dxa"/>
            <w:tcBorders>
              <w:bottom w:val="dotted" w:sz="4" w:space="0" w:color="auto"/>
            </w:tcBorders>
          </w:tcPr>
          <w:p w14:paraId="00725243" w14:textId="14657432" w:rsidR="00F054F9" w:rsidRPr="004A68BA" w:rsidRDefault="004274FA" w:rsidP="00F054F9">
            <w:pPr>
              <w:jc w:val="right"/>
              <w:rPr>
                <w:rFonts w:ascii="Century Gothic" w:hAnsi="Century Gothic"/>
                <w:sz w:val="18"/>
                <w:szCs w:val="18"/>
              </w:rPr>
            </w:pPr>
            <w:r w:rsidRPr="004A68BA">
              <w:rPr>
                <w:rFonts w:ascii="Century Gothic" w:hAnsi="Century Gothic"/>
                <w:sz w:val="18"/>
                <w:szCs w:val="18"/>
              </w:rPr>
              <w:t xml:space="preserve"> </w:t>
            </w:r>
          </w:p>
        </w:tc>
      </w:tr>
      <w:tr w:rsidR="00F054F9" w:rsidRPr="00CA6003" w14:paraId="2CE0B64B" w14:textId="77777777" w:rsidTr="004A68BA">
        <w:trPr>
          <w:trHeight w:val="323"/>
        </w:trPr>
        <w:tc>
          <w:tcPr>
            <w:tcW w:w="3160" w:type="dxa"/>
            <w:tcBorders>
              <w:bottom w:val="single" w:sz="24" w:space="0" w:color="auto"/>
            </w:tcBorders>
            <w:shd w:val="clear" w:color="auto" w:fill="E0E0E0"/>
            <w:vAlign w:val="center"/>
          </w:tcPr>
          <w:p w14:paraId="67F07111" w14:textId="108FCEE3" w:rsidR="00F054F9" w:rsidRPr="004A68BA" w:rsidRDefault="00F054F9" w:rsidP="00F054F9">
            <w:pPr>
              <w:rPr>
                <w:rFonts w:ascii="Century Gothic" w:hAnsi="Century Gothic"/>
                <w:b/>
                <w:sz w:val="18"/>
                <w:szCs w:val="18"/>
              </w:rPr>
            </w:pPr>
            <w:r w:rsidRPr="004A68BA">
              <w:rPr>
                <w:rFonts w:ascii="Century Gothic" w:hAnsi="Century Gothic"/>
                <w:b/>
                <w:sz w:val="18"/>
                <w:szCs w:val="18"/>
              </w:rPr>
              <w:t xml:space="preserve">Total </w:t>
            </w:r>
          </w:p>
        </w:tc>
        <w:tc>
          <w:tcPr>
            <w:tcW w:w="1890" w:type="dxa"/>
            <w:tcBorders>
              <w:bottom w:val="single" w:sz="24" w:space="0" w:color="auto"/>
            </w:tcBorders>
            <w:vAlign w:val="center"/>
          </w:tcPr>
          <w:p w14:paraId="0E2E890C" w14:textId="656BD721" w:rsidR="00F054F9" w:rsidRPr="004A68BA" w:rsidRDefault="00B92FD4" w:rsidP="00F054F9">
            <w:pPr>
              <w:jc w:val="center"/>
              <w:rPr>
                <w:rFonts w:ascii="Century Gothic" w:hAnsi="Century Gothic"/>
                <w:sz w:val="18"/>
                <w:szCs w:val="18"/>
              </w:rPr>
            </w:pPr>
            <w:r w:rsidRPr="004A68BA">
              <w:rPr>
                <w:rFonts w:ascii="Century Gothic" w:hAnsi="Century Gothic"/>
                <w:sz w:val="18"/>
                <w:szCs w:val="18"/>
              </w:rPr>
              <w:t xml:space="preserve">54 </w:t>
            </w:r>
          </w:p>
        </w:tc>
        <w:tc>
          <w:tcPr>
            <w:tcW w:w="2160" w:type="dxa"/>
            <w:tcBorders>
              <w:bottom w:val="single" w:sz="24" w:space="0" w:color="auto"/>
            </w:tcBorders>
          </w:tcPr>
          <w:p w14:paraId="2A4C4C1B" w14:textId="4AD8765A" w:rsidR="00F054F9" w:rsidRPr="004A68BA" w:rsidRDefault="004274FA" w:rsidP="00F054F9">
            <w:pPr>
              <w:jc w:val="center"/>
              <w:rPr>
                <w:rFonts w:ascii="Century Gothic" w:hAnsi="Century Gothic"/>
                <w:sz w:val="18"/>
                <w:szCs w:val="18"/>
              </w:rPr>
            </w:pPr>
            <w:r w:rsidRPr="004A68BA">
              <w:rPr>
                <w:rFonts w:ascii="Century Gothic" w:hAnsi="Century Gothic"/>
                <w:sz w:val="18"/>
                <w:szCs w:val="18"/>
              </w:rPr>
              <w:t>114</w:t>
            </w:r>
            <w:r w:rsidR="00B92FD4" w:rsidRPr="004A68BA">
              <w:rPr>
                <w:rFonts w:ascii="Century Gothic" w:hAnsi="Century Gothic"/>
                <w:sz w:val="18"/>
                <w:szCs w:val="18"/>
              </w:rPr>
              <w:t xml:space="preserve"> Spaces</w:t>
            </w:r>
          </w:p>
        </w:tc>
        <w:tc>
          <w:tcPr>
            <w:tcW w:w="2150" w:type="dxa"/>
            <w:tcBorders>
              <w:bottom w:val="single" w:sz="24" w:space="0" w:color="auto"/>
            </w:tcBorders>
          </w:tcPr>
          <w:p w14:paraId="4C106ADE" w14:textId="7390ED32" w:rsidR="00F054F9" w:rsidRPr="004A68BA" w:rsidRDefault="00F054F9" w:rsidP="00160CA5">
            <w:pPr>
              <w:jc w:val="center"/>
              <w:rPr>
                <w:rFonts w:ascii="Century Gothic" w:hAnsi="Century Gothic"/>
                <w:sz w:val="18"/>
                <w:szCs w:val="18"/>
              </w:rPr>
            </w:pPr>
            <w:r w:rsidRPr="004A68BA">
              <w:rPr>
                <w:rFonts w:ascii="Century Gothic" w:hAnsi="Century Gothic"/>
                <w:sz w:val="18"/>
                <w:szCs w:val="18"/>
              </w:rPr>
              <w:t>1</w:t>
            </w:r>
            <w:r w:rsidR="00160CA5" w:rsidRPr="004A68BA">
              <w:rPr>
                <w:rFonts w:ascii="Century Gothic" w:hAnsi="Century Gothic"/>
                <w:sz w:val="18"/>
                <w:szCs w:val="18"/>
              </w:rPr>
              <w:t>14</w:t>
            </w:r>
            <w:r w:rsidRPr="004A68BA">
              <w:rPr>
                <w:rFonts w:ascii="Century Gothic" w:hAnsi="Century Gothic"/>
                <w:sz w:val="18"/>
                <w:szCs w:val="18"/>
              </w:rPr>
              <w:t xml:space="preserve"> Spaces</w:t>
            </w:r>
          </w:p>
        </w:tc>
      </w:tr>
    </w:tbl>
    <w:p w14:paraId="4F9884C5" w14:textId="77777777" w:rsidR="004A68BA" w:rsidRDefault="004A68BA" w:rsidP="00706BB9">
      <w:pPr>
        <w:spacing w:after="0"/>
        <w:jc w:val="both"/>
        <w:rPr>
          <w:rFonts w:ascii="Arial" w:hAnsi="Arial" w:cs="Arial"/>
          <w:b/>
          <w:bCs/>
          <w:u w:val="single"/>
        </w:rPr>
      </w:pPr>
    </w:p>
    <w:p w14:paraId="74C18194" w14:textId="304D7232" w:rsidR="005E727D" w:rsidRPr="008140ED" w:rsidRDefault="004A68BA" w:rsidP="00706BB9">
      <w:pPr>
        <w:spacing w:after="0"/>
        <w:jc w:val="both"/>
        <w:rPr>
          <w:rFonts w:ascii="Arial" w:hAnsi="Arial" w:cs="Arial"/>
          <w:b/>
          <w:bCs/>
          <w:u w:val="single"/>
        </w:rPr>
      </w:pPr>
      <w:r w:rsidRPr="004A68BA">
        <w:rPr>
          <w:rFonts w:ascii="Arial" w:hAnsi="Arial" w:cs="Arial"/>
          <w:b/>
          <w:bCs/>
          <w:sz w:val="24"/>
          <w:szCs w:val="24"/>
          <w:u w:val="single"/>
        </w:rPr>
        <w:t>Comprehensive Plan Consistency</w:t>
      </w:r>
      <w:r w:rsidRPr="008140ED">
        <w:rPr>
          <w:rFonts w:ascii="Arial" w:hAnsi="Arial" w:cs="Arial"/>
          <w:b/>
          <w:bCs/>
        </w:rPr>
        <w:t> </w:t>
      </w:r>
    </w:p>
    <w:p w14:paraId="12C99F2B" w14:textId="1F8965A3" w:rsidR="00364D03" w:rsidRDefault="00364D03" w:rsidP="00364D03">
      <w:pPr>
        <w:pStyle w:val="s10"/>
        <w:spacing w:before="0" w:beforeAutospacing="0" w:after="0" w:afterAutospacing="0"/>
        <w:jc w:val="both"/>
        <w:rPr>
          <w:rFonts w:ascii="Arial" w:eastAsiaTheme="minorEastAsia" w:hAnsi="Arial" w:cs="Arial"/>
          <w:sz w:val="24"/>
          <w:szCs w:val="24"/>
        </w:rPr>
      </w:pPr>
      <w:r w:rsidRPr="00364D03">
        <w:rPr>
          <w:rFonts w:ascii="Arial" w:eastAsiaTheme="minorEastAsia" w:hAnsi="Arial" w:cs="Arial"/>
          <w:sz w:val="24"/>
          <w:szCs w:val="24"/>
        </w:rPr>
        <w:t>The proposed use is consistent with the City’s Comprehensive Plan Goals, Objectives and Policies, including the Future Land Use Element, Goal 1, Objective 1.1, Policy 1.1.1, </w:t>
      </w:r>
      <w:r w:rsidR="008E1C01">
        <w:rPr>
          <w:rFonts w:ascii="Arial" w:eastAsiaTheme="minorEastAsia" w:hAnsi="Arial" w:cs="Arial"/>
          <w:sz w:val="24"/>
          <w:szCs w:val="24"/>
        </w:rPr>
        <w:t>which states that d</w:t>
      </w:r>
      <w:r w:rsidRPr="00364D03">
        <w:rPr>
          <w:rFonts w:ascii="Arial" w:eastAsiaTheme="minorEastAsia" w:hAnsi="Arial" w:cs="Arial"/>
          <w:sz w:val="24"/>
          <w:szCs w:val="24"/>
        </w:rPr>
        <w:t>ensity and intensity standards are utilized to control the intensity or density of all uses within the City in order to ensure compliance with the Goals, Objectives, and Policies of the Plan</w:t>
      </w:r>
      <w:r w:rsidR="002C51CB">
        <w:rPr>
          <w:rFonts w:ascii="Arial" w:eastAsiaTheme="minorEastAsia" w:hAnsi="Arial" w:cs="Arial"/>
          <w:sz w:val="24"/>
          <w:szCs w:val="24"/>
        </w:rPr>
        <w:t>;</w:t>
      </w:r>
      <w:r w:rsidRPr="00364D03">
        <w:rPr>
          <w:rFonts w:ascii="Arial" w:eastAsiaTheme="minorEastAsia" w:hAnsi="Arial" w:cs="Arial"/>
          <w:sz w:val="24"/>
          <w:szCs w:val="24"/>
        </w:rPr>
        <w:t xml:space="preserve"> Urban Design Element, Goal 2, </w:t>
      </w:r>
      <w:r w:rsidR="00115D03">
        <w:rPr>
          <w:rFonts w:ascii="Arial" w:eastAsiaTheme="minorEastAsia" w:hAnsi="Arial" w:cs="Arial"/>
          <w:sz w:val="24"/>
          <w:szCs w:val="24"/>
        </w:rPr>
        <w:t>which</w:t>
      </w:r>
      <w:r w:rsidR="008E1C01">
        <w:rPr>
          <w:rFonts w:ascii="Arial" w:eastAsiaTheme="minorEastAsia" w:hAnsi="Arial" w:cs="Arial"/>
          <w:sz w:val="24"/>
          <w:szCs w:val="24"/>
        </w:rPr>
        <w:t xml:space="preserve"> e</w:t>
      </w:r>
      <w:r w:rsidRPr="00364D03">
        <w:rPr>
          <w:rFonts w:ascii="Arial" w:eastAsiaTheme="minorEastAsia" w:hAnsi="Arial" w:cs="Arial"/>
          <w:sz w:val="24"/>
          <w:szCs w:val="24"/>
        </w:rPr>
        <w:t>ncourage</w:t>
      </w:r>
      <w:r w:rsidR="00F01648">
        <w:rPr>
          <w:rFonts w:ascii="Arial" w:eastAsiaTheme="minorEastAsia" w:hAnsi="Arial" w:cs="Arial"/>
          <w:sz w:val="24"/>
          <w:szCs w:val="24"/>
        </w:rPr>
        <w:t>s</w:t>
      </w:r>
      <w:r w:rsidRPr="00364D03">
        <w:rPr>
          <w:rFonts w:ascii="Arial" w:eastAsiaTheme="minorEastAsia" w:hAnsi="Arial" w:cs="Arial"/>
          <w:sz w:val="24"/>
          <w:szCs w:val="24"/>
        </w:rPr>
        <w:t xml:space="preserve"> urban design </w:t>
      </w:r>
      <w:r w:rsidR="00F01648">
        <w:rPr>
          <w:rFonts w:ascii="Arial" w:eastAsiaTheme="minorEastAsia" w:hAnsi="Arial" w:cs="Arial"/>
          <w:sz w:val="24"/>
          <w:szCs w:val="24"/>
        </w:rPr>
        <w:t>that</w:t>
      </w:r>
      <w:r w:rsidRPr="00364D03">
        <w:rPr>
          <w:rFonts w:ascii="Arial" w:eastAsiaTheme="minorEastAsia" w:hAnsi="Arial" w:cs="Arial"/>
          <w:sz w:val="24"/>
          <w:szCs w:val="24"/>
        </w:rPr>
        <w:t xml:space="preserve"> responds to the climate and character of Fort Lauderdale, is pedestrian friendly, human-scaled</w:t>
      </w:r>
      <w:r w:rsidR="003E053A">
        <w:rPr>
          <w:rFonts w:ascii="Arial" w:eastAsiaTheme="minorEastAsia" w:hAnsi="Arial" w:cs="Arial"/>
          <w:sz w:val="24"/>
          <w:szCs w:val="24"/>
        </w:rPr>
        <w:t>,</w:t>
      </w:r>
      <w:r w:rsidRPr="00364D03">
        <w:rPr>
          <w:rFonts w:ascii="Arial" w:eastAsiaTheme="minorEastAsia" w:hAnsi="Arial" w:cs="Arial"/>
          <w:sz w:val="24"/>
          <w:szCs w:val="24"/>
        </w:rPr>
        <w:t xml:space="preserve"> and contains the infrastructure and amenities to create a vibrant public realm</w:t>
      </w:r>
      <w:r w:rsidR="003E053A">
        <w:rPr>
          <w:rFonts w:ascii="Arial" w:eastAsiaTheme="minorEastAsia" w:hAnsi="Arial" w:cs="Arial"/>
          <w:sz w:val="24"/>
          <w:szCs w:val="24"/>
        </w:rPr>
        <w:t>;</w:t>
      </w:r>
      <w:r w:rsidRPr="00364D03">
        <w:rPr>
          <w:rFonts w:ascii="Arial" w:eastAsiaTheme="minorEastAsia" w:hAnsi="Arial" w:cs="Arial"/>
          <w:sz w:val="24"/>
          <w:szCs w:val="24"/>
        </w:rPr>
        <w:t xml:space="preserve"> and Goal 4, </w:t>
      </w:r>
      <w:r w:rsidR="00BB79D2">
        <w:rPr>
          <w:rFonts w:ascii="Arial" w:eastAsiaTheme="minorEastAsia" w:hAnsi="Arial" w:cs="Arial"/>
          <w:sz w:val="24"/>
          <w:szCs w:val="24"/>
        </w:rPr>
        <w:t xml:space="preserve">which </w:t>
      </w:r>
      <w:r w:rsidR="00BF73D5">
        <w:rPr>
          <w:rFonts w:ascii="Arial" w:eastAsiaTheme="minorEastAsia" w:hAnsi="Arial" w:cs="Arial"/>
          <w:sz w:val="24"/>
          <w:szCs w:val="24"/>
        </w:rPr>
        <w:t>aims</w:t>
      </w:r>
      <w:r w:rsidR="00DE0487">
        <w:rPr>
          <w:rFonts w:ascii="Arial" w:eastAsiaTheme="minorEastAsia" w:hAnsi="Arial" w:cs="Arial"/>
          <w:sz w:val="24"/>
          <w:szCs w:val="24"/>
        </w:rPr>
        <w:t xml:space="preserve"> to e</w:t>
      </w:r>
      <w:r w:rsidRPr="00364D03">
        <w:rPr>
          <w:rFonts w:ascii="Arial" w:eastAsiaTheme="minorEastAsia" w:hAnsi="Arial" w:cs="Arial"/>
          <w:sz w:val="24"/>
          <w:szCs w:val="24"/>
        </w:rPr>
        <w:t>nhance the existing built environment and elements unique to Fort Lauderdale, including waterways, bridges, tunnels</w:t>
      </w:r>
      <w:r w:rsidR="003E053A">
        <w:rPr>
          <w:rFonts w:ascii="Arial" w:eastAsiaTheme="minorEastAsia" w:hAnsi="Arial" w:cs="Arial"/>
          <w:sz w:val="24"/>
          <w:szCs w:val="24"/>
        </w:rPr>
        <w:t>,</w:t>
      </w:r>
      <w:r w:rsidRPr="00364D03">
        <w:rPr>
          <w:rFonts w:ascii="Arial" w:eastAsiaTheme="minorEastAsia" w:hAnsi="Arial" w:cs="Arial"/>
          <w:sz w:val="24"/>
          <w:szCs w:val="24"/>
        </w:rPr>
        <w:t xml:space="preserve"> and other traversable features. </w:t>
      </w:r>
    </w:p>
    <w:p w14:paraId="55239D8E" w14:textId="77777777" w:rsidR="0078253D" w:rsidRDefault="0078253D" w:rsidP="00364D03">
      <w:pPr>
        <w:pStyle w:val="s10"/>
        <w:spacing w:before="0" w:beforeAutospacing="0" w:after="0" w:afterAutospacing="0"/>
        <w:jc w:val="both"/>
        <w:rPr>
          <w:rFonts w:ascii="Arial" w:eastAsiaTheme="minorEastAsia" w:hAnsi="Arial" w:cs="Arial"/>
          <w:sz w:val="24"/>
          <w:szCs w:val="24"/>
        </w:rPr>
      </w:pPr>
    </w:p>
    <w:p w14:paraId="4EA46C5D" w14:textId="422A6A81" w:rsidR="0078253D" w:rsidRDefault="002C51CB" w:rsidP="00364D03">
      <w:pPr>
        <w:pStyle w:val="s10"/>
        <w:spacing w:before="0" w:beforeAutospacing="0" w:after="0" w:afterAutospacing="0"/>
        <w:jc w:val="both"/>
        <w:rPr>
          <w:rFonts w:ascii="Arial" w:eastAsiaTheme="minorEastAsia" w:hAnsi="Arial" w:cs="Arial"/>
          <w:sz w:val="24"/>
          <w:szCs w:val="24"/>
        </w:rPr>
      </w:pPr>
      <w:r w:rsidRPr="002C51CB">
        <w:rPr>
          <w:rFonts w:ascii="Arial" w:eastAsiaTheme="minorEastAsia" w:hAnsi="Arial" w:cs="Arial"/>
          <w:sz w:val="24"/>
          <w:szCs w:val="24"/>
        </w:rPr>
        <w:t xml:space="preserve">The City’s Future Land Use Map indicates that the subject site has a </w:t>
      </w:r>
      <w:r>
        <w:rPr>
          <w:rFonts w:ascii="Arial" w:eastAsiaTheme="minorEastAsia" w:hAnsi="Arial" w:cs="Arial"/>
          <w:sz w:val="24"/>
          <w:szCs w:val="24"/>
        </w:rPr>
        <w:t xml:space="preserve">Central </w:t>
      </w:r>
      <w:r w:rsidRPr="002C51CB">
        <w:rPr>
          <w:rFonts w:ascii="Arial" w:eastAsiaTheme="minorEastAsia" w:hAnsi="Arial" w:cs="Arial"/>
          <w:sz w:val="24"/>
          <w:szCs w:val="24"/>
        </w:rPr>
        <w:t>Beach RA</w:t>
      </w:r>
      <w:r>
        <w:rPr>
          <w:rFonts w:ascii="Arial" w:eastAsiaTheme="minorEastAsia" w:hAnsi="Arial" w:cs="Arial"/>
          <w:sz w:val="24"/>
          <w:szCs w:val="24"/>
        </w:rPr>
        <w:t>C</w:t>
      </w:r>
      <w:r w:rsidRPr="002C51CB">
        <w:rPr>
          <w:rFonts w:ascii="Arial" w:eastAsiaTheme="minorEastAsia" w:hAnsi="Arial" w:cs="Arial"/>
          <w:sz w:val="24"/>
          <w:szCs w:val="24"/>
        </w:rPr>
        <w:t xml:space="preserve"> Land Use Designation. More specifically, the Central Beach RAC Land Use Designation serves as a local and regional destination and is a center for tourist activity, in addition to serving existing and future residential, hotel and commercial uses. The intent of this designation is to encourage a mix of uses, promote a strong local economy, integrated with residential, hotel, commercial and recreational uses, a strong waterfront and marina experience, complemented by a world-class pedestrian environment and open space. </w:t>
      </w:r>
      <w:r>
        <w:rPr>
          <w:rFonts w:ascii="Arial" w:eastAsiaTheme="minorEastAsia" w:hAnsi="Arial" w:cs="Arial"/>
          <w:sz w:val="24"/>
          <w:szCs w:val="24"/>
        </w:rPr>
        <w:t>The proposed multifamily residential project is consistent with the Central Beach RAC future land use designation.</w:t>
      </w:r>
    </w:p>
    <w:p w14:paraId="79DBE9D0" w14:textId="77777777" w:rsidR="00822053" w:rsidRPr="00364D03" w:rsidRDefault="00822053" w:rsidP="00364D03">
      <w:pPr>
        <w:pStyle w:val="s10"/>
        <w:spacing w:before="0" w:beforeAutospacing="0" w:after="0" w:afterAutospacing="0"/>
        <w:jc w:val="both"/>
        <w:rPr>
          <w:rFonts w:ascii="Arial" w:eastAsiaTheme="minorEastAsia" w:hAnsi="Arial" w:cs="Arial"/>
          <w:sz w:val="24"/>
          <w:szCs w:val="24"/>
        </w:rPr>
      </w:pPr>
    </w:p>
    <w:p w14:paraId="72EA125F" w14:textId="180C9444" w:rsidR="00DE6CDD" w:rsidRDefault="00364D03" w:rsidP="00F93F78">
      <w:pPr>
        <w:pStyle w:val="BodyText3"/>
        <w:spacing w:after="0" w:line="240" w:lineRule="auto"/>
        <w:jc w:val="both"/>
        <w:rPr>
          <w:rFonts w:ascii="Arial" w:hAnsi="Arial" w:cs="Arial"/>
          <w:sz w:val="24"/>
          <w:szCs w:val="24"/>
        </w:rPr>
      </w:pPr>
      <w:r w:rsidRPr="00364D03">
        <w:rPr>
          <w:rFonts w:ascii="Arial" w:hAnsi="Arial" w:cs="Arial"/>
          <w:sz w:val="24"/>
          <w:szCs w:val="24"/>
        </w:rPr>
        <w:t>The Comprehensive Plan requires that the City track development in the Central Beach RAC and monitor the number of residential units and vehicular trips allocated to individual projects.</w:t>
      </w:r>
      <w:r w:rsidR="005E16DC" w:rsidRPr="005E16DC">
        <w:t xml:space="preserve"> </w:t>
      </w:r>
      <w:r w:rsidR="002C51CB">
        <w:rPr>
          <w:rFonts w:ascii="Arial" w:hAnsi="Arial" w:cs="Arial"/>
          <w:sz w:val="24"/>
          <w:szCs w:val="24"/>
        </w:rPr>
        <w:t>A</w:t>
      </w:r>
      <w:r w:rsidR="005E16DC" w:rsidRPr="005E16DC">
        <w:rPr>
          <w:rFonts w:ascii="Arial" w:hAnsi="Arial" w:cs="Arial"/>
          <w:sz w:val="24"/>
          <w:szCs w:val="24"/>
        </w:rPr>
        <w:t xml:space="preserve"> traffic statement prepared by </w:t>
      </w:r>
      <w:proofErr w:type="spellStart"/>
      <w:r w:rsidR="005E16DC" w:rsidRPr="005E16DC">
        <w:rPr>
          <w:rFonts w:ascii="Arial" w:hAnsi="Arial" w:cs="Arial"/>
          <w:sz w:val="24"/>
          <w:szCs w:val="24"/>
        </w:rPr>
        <w:t>KBP</w:t>
      </w:r>
      <w:proofErr w:type="spellEnd"/>
      <w:r w:rsidR="005E16DC" w:rsidRPr="005E16DC">
        <w:rPr>
          <w:rFonts w:ascii="Arial" w:hAnsi="Arial" w:cs="Arial"/>
          <w:sz w:val="24"/>
          <w:szCs w:val="24"/>
        </w:rPr>
        <w:t xml:space="preserve"> Consulting, Inc., dated November </w:t>
      </w:r>
      <w:r w:rsidR="00987369">
        <w:rPr>
          <w:rFonts w:ascii="Arial" w:hAnsi="Arial" w:cs="Arial"/>
          <w:sz w:val="24"/>
          <w:szCs w:val="24"/>
        </w:rPr>
        <w:t>5</w:t>
      </w:r>
      <w:r w:rsidR="005E16DC" w:rsidRPr="005E16DC">
        <w:rPr>
          <w:rFonts w:ascii="Arial" w:hAnsi="Arial" w:cs="Arial"/>
          <w:sz w:val="24"/>
          <w:szCs w:val="24"/>
        </w:rPr>
        <w:t xml:space="preserve">, 2025, indicated that the proposed </w:t>
      </w:r>
      <w:r w:rsidR="002C51CB">
        <w:rPr>
          <w:rFonts w:ascii="Arial" w:hAnsi="Arial" w:cs="Arial"/>
          <w:sz w:val="24"/>
          <w:szCs w:val="24"/>
        </w:rPr>
        <w:t xml:space="preserve">project </w:t>
      </w:r>
      <w:r w:rsidR="005E16DC" w:rsidRPr="005E16DC">
        <w:rPr>
          <w:rFonts w:ascii="Arial" w:hAnsi="Arial" w:cs="Arial"/>
          <w:sz w:val="24"/>
          <w:szCs w:val="24"/>
        </w:rPr>
        <w:t xml:space="preserve">is anticipated to generate 241 daily vehicle trips, 11 AM peak hour vehicle trips (3 inbound and 8 outbound) and 14 </w:t>
      </w:r>
      <w:r w:rsidR="002C51CB">
        <w:rPr>
          <w:rFonts w:ascii="Arial" w:hAnsi="Arial" w:cs="Arial"/>
          <w:sz w:val="24"/>
          <w:szCs w:val="24"/>
        </w:rPr>
        <w:t xml:space="preserve">PM peak </w:t>
      </w:r>
      <w:r w:rsidR="005E16DC" w:rsidRPr="005E16DC">
        <w:rPr>
          <w:rFonts w:ascii="Arial" w:hAnsi="Arial" w:cs="Arial"/>
          <w:sz w:val="24"/>
          <w:szCs w:val="24"/>
        </w:rPr>
        <w:t>vehicle trips (9 inbound and 5 outbound) during the typical afternoon peak hour. When compared with the existing development on this site, this represents an increase of 103 daily vehicle trips, two (2) AM peak hour vehicle trips, and two (2) PM peak hour vehicle trips.</w:t>
      </w:r>
      <w:r w:rsidR="004F295E">
        <w:rPr>
          <w:rFonts w:ascii="Arial" w:hAnsi="Arial" w:cs="Arial"/>
          <w:sz w:val="24"/>
          <w:szCs w:val="24"/>
        </w:rPr>
        <w:t xml:space="preserve"> </w:t>
      </w:r>
      <w:r w:rsidR="00070863">
        <w:rPr>
          <w:rFonts w:ascii="Arial" w:hAnsi="Arial" w:cs="Arial"/>
          <w:bCs/>
          <w:sz w:val="24"/>
          <w:szCs w:val="24"/>
        </w:rPr>
        <w:t xml:space="preserve">The </w:t>
      </w:r>
      <w:r w:rsidR="00070863" w:rsidRPr="00387BF2">
        <w:rPr>
          <w:rFonts w:ascii="Arial" w:hAnsi="Arial" w:cs="Arial"/>
          <w:bCs/>
          <w:sz w:val="24"/>
          <w:szCs w:val="24"/>
        </w:rPr>
        <w:t xml:space="preserve">November </w:t>
      </w:r>
      <w:r w:rsidR="00070863">
        <w:rPr>
          <w:rFonts w:ascii="Arial" w:hAnsi="Arial" w:cs="Arial"/>
          <w:bCs/>
          <w:sz w:val="24"/>
          <w:szCs w:val="24"/>
        </w:rPr>
        <w:t>24</w:t>
      </w:r>
      <w:r w:rsidR="00070863" w:rsidRPr="00387BF2">
        <w:rPr>
          <w:rFonts w:ascii="Arial" w:hAnsi="Arial" w:cs="Arial"/>
          <w:bCs/>
          <w:sz w:val="24"/>
          <w:szCs w:val="24"/>
        </w:rPr>
        <w:t>, 2025, Trip Generation Statement</w:t>
      </w:r>
      <w:r w:rsidR="00070863">
        <w:rPr>
          <w:rFonts w:ascii="Arial" w:hAnsi="Arial" w:cs="Arial"/>
          <w:bCs/>
          <w:sz w:val="24"/>
          <w:szCs w:val="24"/>
        </w:rPr>
        <w:t xml:space="preserve">, prepared by </w:t>
      </w:r>
      <w:proofErr w:type="spellStart"/>
      <w:r w:rsidR="00070863" w:rsidRPr="005E16DC">
        <w:rPr>
          <w:rFonts w:ascii="Arial" w:hAnsi="Arial" w:cs="Arial"/>
          <w:sz w:val="24"/>
          <w:szCs w:val="24"/>
        </w:rPr>
        <w:t>KBP</w:t>
      </w:r>
      <w:proofErr w:type="spellEnd"/>
      <w:r w:rsidR="00070863" w:rsidRPr="005E16DC">
        <w:rPr>
          <w:rFonts w:ascii="Arial" w:hAnsi="Arial" w:cs="Arial"/>
          <w:sz w:val="24"/>
          <w:szCs w:val="24"/>
        </w:rPr>
        <w:t xml:space="preserve"> Consulting, Inc.</w:t>
      </w:r>
      <w:r w:rsidR="00070863">
        <w:rPr>
          <w:rFonts w:ascii="Arial" w:hAnsi="Arial" w:cs="Arial"/>
          <w:sz w:val="24"/>
          <w:szCs w:val="24"/>
        </w:rPr>
        <w:t xml:space="preserve"> is attached as Exhibit 6.</w:t>
      </w:r>
      <w:r w:rsidR="004F295E">
        <w:rPr>
          <w:rFonts w:ascii="Arial" w:hAnsi="Arial" w:cs="Arial"/>
          <w:sz w:val="24"/>
          <w:szCs w:val="24"/>
        </w:rPr>
        <w:t xml:space="preserve"> </w:t>
      </w:r>
      <w:r w:rsidRPr="00364D03">
        <w:rPr>
          <w:rFonts w:ascii="Arial" w:hAnsi="Arial" w:cs="Arial"/>
          <w:sz w:val="24"/>
          <w:szCs w:val="24"/>
        </w:rPr>
        <w:t>Table 2 provides a summary of the vehicular trips allocated in the Central Beach RAC to date. </w:t>
      </w:r>
    </w:p>
    <w:p w14:paraId="1B435706" w14:textId="77777777" w:rsidR="004A68BA" w:rsidRDefault="004A68BA" w:rsidP="00F93F78">
      <w:pPr>
        <w:pStyle w:val="BodyText3"/>
        <w:spacing w:after="0" w:line="240" w:lineRule="auto"/>
        <w:jc w:val="both"/>
        <w:rPr>
          <w:rFonts w:ascii="Arial" w:hAnsi="Arial" w:cs="Arial"/>
          <w:sz w:val="24"/>
          <w:szCs w:val="24"/>
        </w:rPr>
      </w:pPr>
    </w:p>
    <w:p w14:paraId="7FFD33A0" w14:textId="77777777" w:rsidR="004A68BA" w:rsidRDefault="004A68BA" w:rsidP="00F93F78">
      <w:pPr>
        <w:pStyle w:val="BodyText3"/>
        <w:spacing w:after="0" w:line="240" w:lineRule="auto"/>
        <w:jc w:val="both"/>
        <w:rPr>
          <w:rFonts w:ascii="Arial" w:hAnsi="Arial" w:cs="Arial"/>
          <w:sz w:val="24"/>
          <w:szCs w:val="24"/>
        </w:rPr>
      </w:pPr>
    </w:p>
    <w:p w14:paraId="6D71984D" w14:textId="77777777" w:rsidR="004A68BA" w:rsidRDefault="004A68BA" w:rsidP="00F93F78">
      <w:pPr>
        <w:pStyle w:val="BodyText3"/>
        <w:spacing w:after="0" w:line="240" w:lineRule="auto"/>
        <w:jc w:val="both"/>
        <w:rPr>
          <w:rFonts w:ascii="Arial" w:hAnsi="Arial" w:cs="Arial"/>
          <w:sz w:val="24"/>
          <w:szCs w:val="24"/>
        </w:rPr>
      </w:pPr>
    </w:p>
    <w:p w14:paraId="08C28E70" w14:textId="77777777" w:rsidR="004A68BA" w:rsidRDefault="004A68BA" w:rsidP="00F93F78">
      <w:pPr>
        <w:pStyle w:val="BodyText3"/>
        <w:spacing w:after="0" w:line="240" w:lineRule="auto"/>
        <w:jc w:val="both"/>
        <w:rPr>
          <w:rFonts w:ascii="Arial" w:hAnsi="Arial" w:cs="Arial"/>
          <w:sz w:val="24"/>
          <w:szCs w:val="24"/>
        </w:rPr>
      </w:pPr>
    </w:p>
    <w:p w14:paraId="53C1B114" w14:textId="077CF1C4" w:rsidR="007621EF" w:rsidRDefault="007621EF" w:rsidP="000E29C6">
      <w:pPr>
        <w:pStyle w:val="BodyText3"/>
        <w:spacing w:after="0"/>
        <w:ind w:firstLine="720"/>
        <w:rPr>
          <w:rFonts w:ascii="Century Gothic" w:eastAsia="Aptos" w:hAnsi="Century Gothic"/>
          <w:i/>
          <w:iCs/>
          <w:sz w:val="14"/>
          <w:szCs w:val="14"/>
          <w:highlight w:val="yellow"/>
          <w14:ligatures w14:val="standardContextual"/>
        </w:rPr>
      </w:pPr>
    </w:p>
    <w:p w14:paraId="146E9AB2" w14:textId="1B09B113" w:rsidR="00ED5AEB" w:rsidRPr="005B4B37" w:rsidRDefault="00ED5AEB" w:rsidP="004F6F2B">
      <w:pPr>
        <w:autoSpaceDE w:val="0"/>
        <w:autoSpaceDN w:val="0"/>
        <w:spacing w:after="0" w:line="240" w:lineRule="auto"/>
        <w:rPr>
          <w:rFonts w:ascii="Century Gothic" w:hAnsi="Century Gothic"/>
          <w:b/>
          <w:bCs/>
          <w:sz w:val="18"/>
          <w:szCs w:val="18"/>
        </w:rPr>
      </w:pPr>
      <w:r>
        <w:rPr>
          <w:rFonts w:ascii="Century Gothic" w:hAnsi="Century Gothic"/>
          <w:b/>
          <w:bCs/>
          <w:sz w:val="18"/>
          <w:szCs w:val="18"/>
        </w:rPr>
        <w:t>T</w:t>
      </w:r>
      <w:r w:rsidRPr="005B4B37">
        <w:rPr>
          <w:rFonts w:ascii="Century Gothic" w:hAnsi="Century Gothic"/>
          <w:b/>
          <w:bCs/>
          <w:sz w:val="18"/>
          <w:szCs w:val="18"/>
        </w:rPr>
        <w:t>able 2 – Beach RAC Development Tracking Summary</w:t>
      </w:r>
    </w:p>
    <w:tbl>
      <w:tblPr>
        <w:tblpPr w:leftFromText="180" w:rightFromText="180" w:vertAnchor="text"/>
        <w:tblW w:w="9330" w:type="dxa"/>
        <w:tblBorders>
          <w:top w:val="threeDEngrave" w:sz="24" w:space="0" w:color="auto"/>
          <w:left w:val="dotted" w:sz="4" w:space="0" w:color="auto"/>
          <w:bottom w:val="threeDEmboss" w:sz="2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799"/>
        <w:gridCol w:w="823"/>
        <w:gridCol w:w="3725"/>
        <w:gridCol w:w="983"/>
      </w:tblGrid>
      <w:tr w:rsidR="00ED5AEB" w:rsidRPr="005B4B37" w14:paraId="52D894AD" w14:textId="77777777" w:rsidTr="00472C9F">
        <w:tc>
          <w:tcPr>
            <w:tcW w:w="2477" w:type="pct"/>
            <w:gridSpan w:val="2"/>
            <w:tcBorders>
              <w:top w:val="threeDEngrave" w:sz="24" w:space="0" w:color="auto"/>
              <w:bottom w:val="single" w:sz="12" w:space="0" w:color="A6A6A6" w:themeColor="background1" w:themeShade="A6"/>
            </w:tcBorders>
            <w:shd w:val="clear" w:color="auto" w:fill="D9D9D9"/>
            <w:tcMar>
              <w:top w:w="0" w:type="dxa"/>
              <w:left w:w="108" w:type="dxa"/>
              <w:bottom w:w="0" w:type="dxa"/>
              <w:right w:w="108" w:type="dxa"/>
            </w:tcMar>
            <w:hideMark/>
          </w:tcPr>
          <w:p w14:paraId="723165B1" w14:textId="77777777" w:rsidR="00ED5AEB" w:rsidRPr="005B4B37" w:rsidRDefault="00ED5AEB" w:rsidP="00472C9F">
            <w:pPr>
              <w:autoSpaceDE w:val="0"/>
              <w:autoSpaceDN w:val="0"/>
              <w:rPr>
                <w:rFonts w:ascii="Century Gothic" w:hAnsi="Century Gothic"/>
                <w:b/>
                <w:bCs/>
                <w:sz w:val="18"/>
                <w:szCs w:val="18"/>
              </w:rPr>
            </w:pPr>
            <w:r w:rsidRPr="005B4B37">
              <w:rPr>
                <w:rFonts w:ascii="Century Gothic" w:hAnsi="Century Gothic"/>
                <w:b/>
                <w:bCs/>
                <w:sz w:val="18"/>
                <w:szCs w:val="18"/>
              </w:rPr>
              <w:t>Residential Unit Summary</w:t>
            </w:r>
          </w:p>
        </w:tc>
        <w:tc>
          <w:tcPr>
            <w:tcW w:w="2523" w:type="pct"/>
            <w:gridSpan w:val="2"/>
            <w:tcBorders>
              <w:top w:val="threeDEngrave" w:sz="24" w:space="0" w:color="auto"/>
              <w:bottom w:val="single" w:sz="12" w:space="0" w:color="A6A6A6" w:themeColor="background1" w:themeShade="A6"/>
            </w:tcBorders>
            <w:shd w:val="clear" w:color="auto" w:fill="D9D9D9"/>
            <w:tcMar>
              <w:top w:w="0" w:type="dxa"/>
              <w:left w:w="108" w:type="dxa"/>
              <w:bottom w:w="0" w:type="dxa"/>
              <w:right w:w="108" w:type="dxa"/>
            </w:tcMar>
            <w:hideMark/>
          </w:tcPr>
          <w:p w14:paraId="6C173EFE" w14:textId="77777777" w:rsidR="00ED5AEB" w:rsidRPr="005B4B37" w:rsidRDefault="00ED5AEB" w:rsidP="00472C9F">
            <w:pPr>
              <w:autoSpaceDE w:val="0"/>
              <w:autoSpaceDN w:val="0"/>
              <w:rPr>
                <w:rFonts w:ascii="Century Gothic" w:hAnsi="Century Gothic"/>
                <w:b/>
                <w:bCs/>
                <w:sz w:val="18"/>
                <w:szCs w:val="18"/>
              </w:rPr>
            </w:pPr>
            <w:r w:rsidRPr="005B4B37">
              <w:rPr>
                <w:rFonts w:ascii="Century Gothic" w:hAnsi="Century Gothic"/>
                <w:b/>
                <w:bCs/>
                <w:sz w:val="18"/>
                <w:szCs w:val="18"/>
              </w:rPr>
              <w:t>Vehicle Trip Summary</w:t>
            </w:r>
          </w:p>
        </w:tc>
      </w:tr>
      <w:tr w:rsidR="00ED5AEB" w:rsidRPr="005B4B37" w14:paraId="1C576D91" w14:textId="77777777" w:rsidTr="004A68BA">
        <w:tc>
          <w:tcPr>
            <w:tcW w:w="2036" w:type="pct"/>
            <w:tcBorders>
              <w:top w:val="single" w:sz="12" w:space="0" w:color="A6A6A6" w:themeColor="background1" w:themeShade="A6"/>
            </w:tcBorders>
            <w:tcMar>
              <w:top w:w="0" w:type="dxa"/>
              <w:left w:w="108" w:type="dxa"/>
              <w:bottom w:w="0" w:type="dxa"/>
              <w:right w:w="108" w:type="dxa"/>
            </w:tcMar>
            <w:vAlign w:val="center"/>
            <w:hideMark/>
          </w:tcPr>
          <w:p w14:paraId="59CC9B2B" w14:textId="77777777" w:rsidR="00ED5AEB" w:rsidRPr="005B4B37" w:rsidRDefault="00ED5AEB" w:rsidP="00472C9F">
            <w:pPr>
              <w:autoSpaceDE w:val="0"/>
              <w:autoSpaceDN w:val="0"/>
              <w:rPr>
                <w:rFonts w:ascii="Century Gothic" w:hAnsi="Century Gothic"/>
                <w:sz w:val="18"/>
                <w:szCs w:val="18"/>
              </w:rPr>
            </w:pPr>
            <w:r w:rsidRPr="005B4B37">
              <w:rPr>
                <w:rFonts w:ascii="Century Gothic" w:hAnsi="Century Gothic"/>
                <w:sz w:val="18"/>
                <w:szCs w:val="18"/>
              </w:rPr>
              <w:t>Total Residential Units Permitted</w:t>
            </w:r>
          </w:p>
        </w:tc>
        <w:tc>
          <w:tcPr>
            <w:tcW w:w="441" w:type="pct"/>
            <w:tcBorders>
              <w:top w:val="single" w:sz="12" w:space="0" w:color="A6A6A6" w:themeColor="background1" w:themeShade="A6"/>
            </w:tcBorders>
            <w:tcMar>
              <w:top w:w="0" w:type="dxa"/>
              <w:left w:w="108" w:type="dxa"/>
              <w:bottom w:w="0" w:type="dxa"/>
              <w:right w:w="108" w:type="dxa"/>
            </w:tcMar>
            <w:vAlign w:val="center"/>
            <w:hideMark/>
          </w:tcPr>
          <w:p w14:paraId="1969B729" w14:textId="77777777" w:rsidR="00ED5AEB" w:rsidRPr="004C16DE" w:rsidRDefault="00ED5AEB" w:rsidP="00472C9F">
            <w:pPr>
              <w:autoSpaceDE w:val="0"/>
              <w:autoSpaceDN w:val="0"/>
              <w:rPr>
                <w:rFonts w:ascii="Century Gothic" w:hAnsi="Century Gothic"/>
                <w:b/>
                <w:sz w:val="18"/>
                <w:szCs w:val="18"/>
              </w:rPr>
            </w:pPr>
            <w:r w:rsidRPr="004C16DE">
              <w:rPr>
                <w:rFonts w:ascii="Century Gothic" w:hAnsi="Century Gothic"/>
                <w:b/>
                <w:sz w:val="18"/>
                <w:szCs w:val="18"/>
              </w:rPr>
              <w:t>5,500</w:t>
            </w:r>
          </w:p>
        </w:tc>
        <w:tc>
          <w:tcPr>
            <w:tcW w:w="1996" w:type="pct"/>
            <w:tcBorders>
              <w:top w:val="single" w:sz="12" w:space="0" w:color="A6A6A6" w:themeColor="background1" w:themeShade="A6"/>
            </w:tcBorders>
            <w:tcMar>
              <w:top w:w="0" w:type="dxa"/>
              <w:left w:w="108" w:type="dxa"/>
              <w:bottom w:w="0" w:type="dxa"/>
              <w:right w:w="108" w:type="dxa"/>
            </w:tcMar>
            <w:vAlign w:val="center"/>
            <w:hideMark/>
          </w:tcPr>
          <w:p w14:paraId="07A46103" w14:textId="77777777" w:rsidR="00ED5AEB" w:rsidRPr="005B4B37" w:rsidRDefault="00ED5AEB" w:rsidP="00472C9F">
            <w:pPr>
              <w:autoSpaceDE w:val="0"/>
              <w:autoSpaceDN w:val="0"/>
              <w:rPr>
                <w:rFonts w:ascii="Century Gothic" w:hAnsi="Century Gothic"/>
                <w:sz w:val="18"/>
                <w:szCs w:val="18"/>
              </w:rPr>
            </w:pPr>
            <w:r w:rsidRPr="005B4B37">
              <w:rPr>
                <w:rFonts w:ascii="Century Gothic" w:hAnsi="Century Gothic"/>
                <w:sz w:val="18"/>
                <w:szCs w:val="18"/>
              </w:rPr>
              <w:t>Total Peak Hour Trips Permitted</w:t>
            </w:r>
          </w:p>
        </w:tc>
        <w:tc>
          <w:tcPr>
            <w:tcW w:w="527" w:type="pct"/>
            <w:tcBorders>
              <w:top w:val="single" w:sz="12" w:space="0" w:color="A6A6A6" w:themeColor="background1" w:themeShade="A6"/>
            </w:tcBorders>
            <w:tcMar>
              <w:top w:w="0" w:type="dxa"/>
              <w:left w:w="108" w:type="dxa"/>
              <w:bottom w:w="0" w:type="dxa"/>
              <w:right w:w="108" w:type="dxa"/>
            </w:tcMar>
            <w:vAlign w:val="center"/>
            <w:hideMark/>
          </w:tcPr>
          <w:p w14:paraId="482A5DA5" w14:textId="77777777" w:rsidR="00ED5AEB" w:rsidRPr="005B4B37" w:rsidRDefault="00ED5AEB" w:rsidP="00472C9F">
            <w:pPr>
              <w:autoSpaceDE w:val="0"/>
              <w:autoSpaceDN w:val="0"/>
              <w:rPr>
                <w:rFonts w:ascii="Century Gothic" w:hAnsi="Century Gothic"/>
                <w:b/>
                <w:bCs/>
                <w:sz w:val="18"/>
                <w:szCs w:val="18"/>
              </w:rPr>
            </w:pPr>
            <w:r w:rsidRPr="005B4B37">
              <w:rPr>
                <w:rFonts w:ascii="Century Gothic" w:hAnsi="Century Gothic"/>
                <w:b/>
                <w:bCs/>
                <w:sz w:val="18"/>
                <w:szCs w:val="18"/>
              </w:rPr>
              <w:t>3,220</w:t>
            </w:r>
          </w:p>
        </w:tc>
      </w:tr>
      <w:tr w:rsidR="00ED5AEB" w:rsidRPr="005B4B37" w14:paraId="73CA4533" w14:textId="77777777" w:rsidTr="004A68BA">
        <w:tc>
          <w:tcPr>
            <w:tcW w:w="2036" w:type="pct"/>
            <w:tcMar>
              <w:top w:w="0" w:type="dxa"/>
              <w:left w:w="108" w:type="dxa"/>
              <w:bottom w:w="0" w:type="dxa"/>
              <w:right w:w="108" w:type="dxa"/>
            </w:tcMar>
            <w:vAlign w:val="center"/>
            <w:hideMark/>
          </w:tcPr>
          <w:p w14:paraId="6113195B" w14:textId="77777777" w:rsidR="00ED5AEB" w:rsidRPr="005B4B37" w:rsidRDefault="00ED5AEB" w:rsidP="00472C9F">
            <w:pPr>
              <w:autoSpaceDE w:val="0"/>
              <w:autoSpaceDN w:val="0"/>
              <w:rPr>
                <w:rFonts w:ascii="Century Gothic" w:hAnsi="Century Gothic"/>
                <w:sz w:val="18"/>
                <w:szCs w:val="18"/>
              </w:rPr>
            </w:pPr>
            <w:r w:rsidRPr="005B4B37">
              <w:rPr>
                <w:rFonts w:ascii="Century Gothic" w:hAnsi="Century Gothic"/>
                <w:sz w:val="18"/>
                <w:szCs w:val="18"/>
              </w:rPr>
              <w:t xml:space="preserve">Built and Approved Units </w:t>
            </w:r>
            <w:r w:rsidRPr="005B4B37">
              <w:rPr>
                <w:rFonts w:ascii="Century Gothic" w:hAnsi="Century Gothic"/>
                <w:sz w:val="18"/>
                <w:szCs w:val="18"/>
                <w:vertAlign w:val="superscript"/>
              </w:rPr>
              <w:t>(1)</w:t>
            </w:r>
          </w:p>
        </w:tc>
        <w:tc>
          <w:tcPr>
            <w:tcW w:w="441" w:type="pct"/>
            <w:tcMar>
              <w:top w:w="0" w:type="dxa"/>
              <w:left w:w="108" w:type="dxa"/>
              <w:bottom w:w="0" w:type="dxa"/>
              <w:right w:w="108" w:type="dxa"/>
            </w:tcMar>
            <w:vAlign w:val="center"/>
            <w:hideMark/>
          </w:tcPr>
          <w:p w14:paraId="34C0B56A" w14:textId="77777777" w:rsidR="00ED5AEB" w:rsidRPr="005B4B37" w:rsidRDefault="00ED5AEB" w:rsidP="00472C9F">
            <w:pPr>
              <w:autoSpaceDE w:val="0"/>
              <w:autoSpaceDN w:val="0"/>
              <w:rPr>
                <w:rFonts w:ascii="Century Gothic" w:hAnsi="Century Gothic"/>
                <w:sz w:val="18"/>
                <w:szCs w:val="18"/>
              </w:rPr>
            </w:pPr>
            <w:r>
              <w:rPr>
                <w:rFonts w:ascii="Century Gothic" w:hAnsi="Century Gothic"/>
                <w:sz w:val="18"/>
                <w:szCs w:val="18"/>
              </w:rPr>
              <w:t>5,025</w:t>
            </w:r>
          </w:p>
        </w:tc>
        <w:tc>
          <w:tcPr>
            <w:tcW w:w="1996" w:type="pct"/>
            <w:tcMar>
              <w:top w:w="0" w:type="dxa"/>
              <w:left w:w="108" w:type="dxa"/>
              <w:bottom w:w="0" w:type="dxa"/>
              <w:right w:w="108" w:type="dxa"/>
            </w:tcMar>
            <w:vAlign w:val="center"/>
            <w:hideMark/>
          </w:tcPr>
          <w:p w14:paraId="5FFC78ED" w14:textId="77777777" w:rsidR="00ED5AEB" w:rsidRPr="005B4B37" w:rsidRDefault="00ED5AEB" w:rsidP="00472C9F">
            <w:pPr>
              <w:autoSpaceDE w:val="0"/>
              <w:autoSpaceDN w:val="0"/>
              <w:rPr>
                <w:rFonts w:ascii="Century Gothic" w:hAnsi="Century Gothic"/>
                <w:sz w:val="18"/>
                <w:szCs w:val="18"/>
              </w:rPr>
            </w:pPr>
            <w:r w:rsidRPr="005B4B37">
              <w:rPr>
                <w:rFonts w:ascii="Century Gothic" w:hAnsi="Century Gothic"/>
                <w:sz w:val="18"/>
                <w:szCs w:val="18"/>
              </w:rPr>
              <w:t xml:space="preserve">Built and Approved Trips </w:t>
            </w:r>
            <w:r w:rsidRPr="005B4B37">
              <w:rPr>
                <w:rFonts w:ascii="Century Gothic" w:hAnsi="Century Gothic"/>
                <w:sz w:val="18"/>
                <w:szCs w:val="18"/>
                <w:vertAlign w:val="superscript"/>
              </w:rPr>
              <w:t>(1)</w:t>
            </w:r>
          </w:p>
        </w:tc>
        <w:tc>
          <w:tcPr>
            <w:tcW w:w="527" w:type="pct"/>
            <w:tcMar>
              <w:top w:w="0" w:type="dxa"/>
              <w:left w:w="108" w:type="dxa"/>
              <w:bottom w:w="0" w:type="dxa"/>
              <w:right w:w="108" w:type="dxa"/>
            </w:tcMar>
            <w:vAlign w:val="center"/>
            <w:hideMark/>
          </w:tcPr>
          <w:p w14:paraId="73B7F8A2" w14:textId="255306DB" w:rsidR="00ED5AEB" w:rsidRPr="005B4B37" w:rsidRDefault="00ED5AEB" w:rsidP="00472C9F">
            <w:pPr>
              <w:autoSpaceDE w:val="0"/>
              <w:autoSpaceDN w:val="0"/>
              <w:rPr>
                <w:rFonts w:ascii="Century Gothic" w:hAnsi="Century Gothic"/>
                <w:b/>
                <w:bCs/>
                <w:sz w:val="18"/>
                <w:szCs w:val="18"/>
              </w:rPr>
            </w:pPr>
            <w:r>
              <w:rPr>
                <w:rFonts w:ascii="Century Gothic" w:hAnsi="Century Gothic"/>
                <w:b/>
                <w:bCs/>
                <w:sz w:val="18"/>
                <w:szCs w:val="18"/>
              </w:rPr>
              <w:t>3</w:t>
            </w:r>
            <w:r>
              <w:rPr>
                <w:rFonts w:ascii="Century Gothic" w:hAnsi="Century Gothic"/>
                <w:b/>
                <w:sz w:val="18"/>
                <w:szCs w:val="18"/>
              </w:rPr>
              <w:t>,</w:t>
            </w:r>
            <w:r>
              <w:rPr>
                <w:rFonts w:ascii="Century Gothic" w:hAnsi="Century Gothic"/>
                <w:b/>
                <w:bCs/>
                <w:sz w:val="18"/>
                <w:szCs w:val="18"/>
              </w:rPr>
              <w:t>1</w:t>
            </w:r>
            <w:r w:rsidR="00D31A9B">
              <w:rPr>
                <w:rFonts w:ascii="Century Gothic" w:hAnsi="Century Gothic"/>
                <w:b/>
                <w:bCs/>
                <w:sz w:val="18"/>
                <w:szCs w:val="18"/>
              </w:rPr>
              <w:t>25</w:t>
            </w:r>
          </w:p>
        </w:tc>
      </w:tr>
      <w:tr w:rsidR="00ED5AEB" w:rsidRPr="005B4B37" w14:paraId="55C6112F" w14:textId="77777777" w:rsidTr="004A68BA">
        <w:tc>
          <w:tcPr>
            <w:tcW w:w="2036" w:type="pct"/>
            <w:tcMar>
              <w:top w:w="0" w:type="dxa"/>
              <w:left w:w="108" w:type="dxa"/>
              <w:bottom w:w="0" w:type="dxa"/>
              <w:right w:w="108" w:type="dxa"/>
            </w:tcMar>
            <w:vAlign w:val="center"/>
            <w:hideMark/>
          </w:tcPr>
          <w:p w14:paraId="31CDBA87" w14:textId="77777777" w:rsidR="00ED5AEB" w:rsidRPr="005B4B37" w:rsidRDefault="00ED5AEB" w:rsidP="00472C9F">
            <w:pPr>
              <w:autoSpaceDE w:val="0"/>
              <w:autoSpaceDN w:val="0"/>
              <w:rPr>
                <w:rFonts w:ascii="Century Gothic" w:hAnsi="Century Gothic"/>
                <w:sz w:val="18"/>
                <w:szCs w:val="18"/>
              </w:rPr>
            </w:pPr>
            <w:r w:rsidRPr="005B4B37">
              <w:rPr>
                <w:rFonts w:ascii="Century Gothic" w:hAnsi="Century Gothic"/>
                <w:sz w:val="18"/>
                <w:szCs w:val="18"/>
              </w:rPr>
              <w:t xml:space="preserve">Demolition Credits </w:t>
            </w:r>
            <w:r w:rsidRPr="005B4B37">
              <w:rPr>
                <w:rFonts w:ascii="Century Gothic" w:hAnsi="Century Gothic"/>
                <w:sz w:val="18"/>
                <w:szCs w:val="18"/>
                <w:vertAlign w:val="superscript"/>
              </w:rPr>
              <w:t>(2)</w:t>
            </w:r>
          </w:p>
        </w:tc>
        <w:tc>
          <w:tcPr>
            <w:tcW w:w="441" w:type="pct"/>
            <w:tcMar>
              <w:top w:w="0" w:type="dxa"/>
              <w:left w:w="108" w:type="dxa"/>
              <w:bottom w:w="0" w:type="dxa"/>
              <w:right w:w="108" w:type="dxa"/>
            </w:tcMar>
            <w:vAlign w:val="center"/>
            <w:hideMark/>
          </w:tcPr>
          <w:p w14:paraId="3C799067" w14:textId="77777777" w:rsidR="00ED5AEB" w:rsidRPr="005B4B37" w:rsidRDefault="00ED5AEB" w:rsidP="00472C9F">
            <w:pPr>
              <w:autoSpaceDE w:val="0"/>
              <w:autoSpaceDN w:val="0"/>
              <w:rPr>
                <w:rFonts w:ascii="Century Gothic" w:hAnsi="Century Gothic"/>
                <w:sz w:val="18"/>
                <w:szCs w:val="18"/>
              </w:rPr>
            </w:pPr>
            <w:r w:rsidRPr="005B4B37">
              <w:rPr>
                <w:rFonts w:ascii="Century Gothic" w:hAnsi="Century Gothic"/>
                <w:sz w:val="18"/>
                <w:szCs w:val="18"/>
              </w:rPr>
              <w:t>34</w:t>
            </w:r>
          </w:p>
        </w:tc>
        <w:tc>
          <w:tcPr>
            <w:tcW w:w="1996" w:type="pct"/>
            <w:tcMar>
              <w:top w:w="0" w:type="dxa"/>
              <w:left w:w="108" w:type="dxa"/>
              <w:bottom w:w="0" w:type="dxa"/>
              <w:right w:w="108" w:type="dxa"/>
            </w:tcMar>
            <w:vAlign w:val="center"/>
            <w:hideMark/>
          </w:tcPr>
          <w:p w14:paraId="1EA5A493" w14:textId="77777777" w:rsidR="00ED5AEB" w:rsidRPr="005B4B37" w:rsidRDefault="00ED5AEB" w:rsidP="00472C9F">
            <w:pPr>
              <w:autoSpaceDE w:val="0"/>
              <w:autoSpaceDN w:val="0"/>
              <w:rPr>
                <w:rFonts w:ascii="Century Gothic" w:hAnsi="Century Gothic"/>
                <w:sz w:val="18"/>
                <w:szCs w:val="18"/>
              </w:rPr>
            </w:pPr>
            <w:r w:rsidRPr="005B4B37">
              <w:rPr>
                <w:rFonts w:ascii="Century Gothic" w:hAnsi="Century Gothic"/>
                <w:sz w:val="18"/>
                <w:szCs w:val="18"/>
              </w:rPr>
              <w:t xml:space="preserve">Demolition Credits </w:t>
            </w:r>
            <w:r w:rsidRPr="005B4B37">
              <w:rPr>
                <w:rFonts w:ascii="Century Gothic" w:hAnsi="Century Gothic"/>
                <w:sz w:val="18"/>
                <w:szCs w:val="18"/>
                <w:vertAlign w:val="superscript"/>
              </w:rPr>
              <w:t>(2)</w:t>
            </w:r>
          </w:p>
        </w:tc>
        <w:tc>
          <w:tcPr>
            <w:tcW w:w="527" w:type="pct"/>
            <w:tcMar>
              <w:top w:w="0" w:type="dxa"/>
              <w:left w:w="108" w:type="dxa"/>
              <w:bottom w:w="0" w:type="dxa"/>
              <w:right w:w="108" w:type="dxa"/>
            </w:tcMar>
            <w:vAlign w:val="center"/>
            <w:hideMark/>
          </w:tcPr>
          <w:p w14:paraId="53A7571F" w14:textId="77777777" w:rsidR="00ED5AEB" w:rsidRPr="00A26FF0" w:rsidRDefault="00ED5AEB" w:rsidP="00472C9F">
            <w:pPr>
              <w:autoSpaceDE w:val="0"/>
              <w:autoSpaceDN w:val="0"/>
              <w:rPr>
                <w:rFonts w:ascii="Century Gothic" w:hAnsi="Century Gothic"/>
                <w:sz w:val="18"/>
                <w:szCs w:val="18"/>
              </w:rPr>
            </w:pPr>
            <w:r w:rsidRPr="00A26FF0">
              <w:rPr>
                <w:rFonts w:ascii="Century Gothic" w:hAnsi="Century Gothic"/>
                <w:sz w:val="18"/>
                <w:szCs w:val="18"/>
              </w:rPr>
              <w:t>50</w:t>
            </w:r>
          </w:p>
        </w:tc>
      </w:tr>
      <w:tr w:rsidR="00ED5AEB" w:rsidRPr="005B4B37" w14:paraId="71101D35" w14:textId="77777777" w:rsidTr="004A68BA">
        <w:tc>
          <w:tcPr>
            <w:tcW w:w="2036" w:type="pct"/>
            <w:tcMar>
              <w:top w:w="0" w:type="dxa"/>
              <w:left w:w="108" w:type="dxa"/>
              <w:bottom w:w="0" w:type="dxa"/>
              <w:right w:w="108" w:type="dxa"/>
            </w:tcMar>
            <w:vAlign w:val="center"/>
            <w:hideMark/>
          </w:tcPr>
          <w:p w14:paraId="2A8E1882" w14:textId="32A2B0B0" w:rsidR="00ED5AEB" w:rsidRPr="0059495B" w:rsidRDefault="00ED5AEB" w:rsidP="00472C9F">
            <w:pPr>
              <w:autoSpaceDE w:val="0"/>
              <w:autoSpaceDN w:val="0"/>
              <w:rPr>
                <w:rFonts w:ascii="Century Gothic" w:hAnsi="Century Gothic"/>
                <w:sz w:val="18"/>
                <w:szCs w:val="18"/>
              </w:rPr>
            </w:pPr>
            <w:r w:rsidRPr="0059495B">
              <w:rPr>
                <w:rFonts w:ascii="Century Gothic" w:hAnsi="Century Gothic"/>
                <w:sz w:val="18"/>
                <w:szCs w:val="18"/>
              </w:rPr>
              <w:t>Allocation for O</w:t>
            </w:r>
            <w:r w:rsidR="00577A5F">
              <w:rPr>
                <w:rFonts w:ascii="Century Gothic" w:hAnsi="Century Gothic"/>
                <w:sz w:val="18"/>
                <w:szCs w:val="18"/>
              </w:rPr>
              <w:t>pus at 701</w:t>
            </w:r>
            <w:r w:rsidRPr="0059495B">
              <w:rPr>
                <w:rFonts w:ascii="Century Gothic" w:hAnsi="Century Gothic"/>
                <w:sz w:val="18"/>
                <w:szCs w:val="18"/>
                <w:vertAlign w:val="superscript"/>
              </w:rPr>
              <w:t>(3)</w:t>
            </w:r>
            <w:r w:rsidRPr="0059495B">
              <w:rPr>
                <w:rFonts w:ascii="Century Gothic" w:hAnsi="Century Gothic"/>
                <w:sz w:val="18"/>
                <w:szCs w:val="18"/>
              </w:rPr>
              <w:t xml:space="preserve"> </w:t>
            </w:r>
          </w:p>
        </w:tc>
        <w:tc>
          <w:tcPr>
            <w:tcW w:w="441" w:type="pct"/>
            <w:tcMar>
              <w:top w:w="0" w:type="dxa"/>
              <w:left w:w="108" w:type="dxa"/>
              <w:bottom w:w="0" w:type="dxa"/>
              <w:right w:w="108" w:type="dxa"/>
            </w:tcMar>
            <w:vAlign w:val="center"/>
            <w:hideMark/>
          </w:tcPr>
          <w:p w14:paraId="284F044D" w14:textId="77777777" w:rsidR="00ED5AEB" w:rsidRPr="0059495B" w:rsidRDefault="00ED5AEB" w:rsidP="00472C9F">
            <w:pPr>
              <w:autoSpaceDE w:val="0"/>
              <w:autoSpaceDN w:val="0"/>
              <w:rPr>
                <w:rFonts w:ascii="Century Gothic" w:hAnsi="Century Gothic"/>
                <w:sz w:val="18"/>
                <w:szCs w:val="18"/>
              </w:rPr>
            </w:pPr>
            <w:r>
              <w:rPr>
                <w:rFonts w:ascii="Century Gothic" w:hAnsi="Century Gothic"/>
                <w:sz w:val="18"/>
                <w:szCs w:val="18"/>
              </w:rPr>
              <w:t>12</w:t>
            </w:r>
          </w:p>
        </w:tc>
        <w:tc>
          <w:tcPr>
            <w:tcW w:w="1996" w:type="pct"/>
            <w:tcMar>
              <w:top w:w="0" w:type="dxa"/>
              <w:left w:w="108" w:type="dxa"/>
              <w:bottom w:w="0" w:type="dxa"/>
              <w:right w:w="108" w:type="dxa"/>
            </w:tcMar>
            <w:vAlign w:val="center"/>
            <w:hideMark/>
          </w:tcPr>
          <w:p w14:paraId="7A64C5FA" w14:textId="1CE1D75B" w:rsidR="00ED5AEB" w:rsidRPr="0059495B" w:rsidRDefault="00ED5AEB" w:rsidP="00472C9F">
            <w:pPr>
              <w:autoSpaceDE w:val="0"/>
              <w:autoSpaceDN w:val="0"/>
              <w:rPr>
                <w:rFonts w:ascii="Century Gothic" w:hAnsi="Century Gothic"/>
                <w:sz w:val="18"/>
                <w:szCs w:val="18"/>
              </w:rPr>
            </w:pPr>
            <w:r w:rsidRPr="0059495B">
              <w:rPr>
                <w:rFonts w:ascii="Century Gothic" w:hAnsi="Century Gothic"/>
                <w:sz w:val="18"/>
                <w:szCs w:val="18"/>
              </w:rPr>
              <w:t xml:space="preserve">Allocation for </w:t>
            </w:r>
            <w:r>
              <w:rPr>
                <w:rFonts w:ascii="Century Gothic" w:hAnsi="Century Gothic"/>
                <w:sz w:val="18"/>
                <w:szCs w:val="18"/>
              </w:rPr>
              <w:t>Opus at 701</w:t>
            </w:r>
            <w:r w:rsidRPr="0059495B">
              <w:rPr>
                <w:rFonts w:ascii="Century Gothic" w:hAnsi="Century Gothic"/>
                <w:sz w:val="18"/>
                <w:szCs w:val="18"/>
                <w:vertAlign w:val="superscript"/>
              </w:rPr>
              <w:t>(3)</w:t>
            </w:r>
          </w:p>
        </w:tc>
        <w:tc>
          <w:tcPr>
            <w:tcW w:w="527" w:type="pct"/>
            <w:tcMar>
              <w:top w:w="0" w:type="dxa"/>
              <w:left w:w="108" w:type="dxa"/>
              <w:bottom w:w="0" w:type="dxa"/>
              <w:right w:w="108" w:type="dxa"/>
            </w:tcMar>
            <w:vAlign w:val="center"/>
            <w:hideMark/>
          </w:tcPr>
          <w:p w14:paraId="070BF705" w14:textId="5039E45B" w:rsidR="00ED5AEB" w:rsidRPr="00A26FF0" w:rsidRDefault="00ED5AEB" w:rsidP="00472C9F">
            <w:pPr>
              <w:autoSpaceDE w:val="0"/>
              <w:autoSpaceDN w:val="0"/>
              <w:rPr>
                <w:rFonts w:ascii="Century Gothic" w:hAnsi="Century Gothic"/>
                <w:sz w:val="18"/>
                <w:szCs w:val="18"/>
                <w:highlight w:val="yellow"/>
              </w:rPr>
            </w:pPr>
            <w:r>
              <w:rPr>
                <w:rFonts w:ascii="Century Gothic" w:hAnsi="Century Gothic"/>
                <w:sz w:val="18"/>
                <w:szCs w:val="18"/>
              </w:rPr>
              <w:t>2</w:t>
            </w:r>
          </w:p>
        </w:tc>
      </w:tr>
      <w:tr w:rsidR="00ED5AEB" w:rsidRPr="005B4B37" w14:paraId="78D4EE3F" w14:textId="77777777" w:rsidTr="004A68BA">
        <w:trPr>
          <w:trHeight w:val="602"/>
        </w:trPr>
        <w:tc>
          <w:tcPr>
            <w:tcW w:w="2036" w:type="pct"/>
            <w:tcMar>
              <w:top w:w="0" w:type="dxa"/>
              <w:left w:w="108" w:type="dxa"/>
              <w:bottom w:w="0" w:type="dxa"/>
              <w:right w:w="108" w:type="dxa"/>
            </w:tcMar>
            <w:vAlign w:val="center"/>
            <w:hideMark/>
          </w:tcPr>
          <w:p w14:paraId="123D6268" w14:textId="7A730A3A" w:rsidR="00ED5AEB" w:rsidRPr="005B4B37" w:rsidRDefault="00ED5AEB" w:rsidP="00472C9F">
            <w:pPr>
              <w:autoSpaceDE w:val="0"/>
              <w:autoSpaceDN w:val="0"/>
              <w:rPr>
                <w:rFonts w:ascii="Century Gothic" w:hAnsi="Century Gothic"/>
                <w:b/>
                <w:bCs/>
                <w:sz w:val="18"/>
                <w:szCs w:val="18"/>
              </w:rPr>
            </w:pPr>
            <w:r w:rsidRPr="005B4B37">
              <w:rPr>
                <w:rFonts w:ascii="Century Gothic" w:hAnsi="Century Gothic"/>
                <w:b/>
                <w:bCs/>
                <w:sz w:val="18"/>
                <w:szCs w:val="18"/>
              </w:rPr>
              <w:t xml:space="preserve">Number of Units Available if Proposed </w:t>
            </w:r>
            <w:r w:rsidR="00577A5F">
              <w:rPr>
                <w:rFonts w:ascii="Century Gothic" w:hAnsi="Century Gothic"/>
                <w:b/>
                <w:bCs/>
                <w:sz w:val="18"/>
                <w:szCs w:val="18"/>
              </w:rPr>
              <w:t>Project</w:t>
            </w:r>
            <w:r>
              <w:rPr>
                <w:rFonts w:ascii="Century Gothic" w:hAnsi="Century Gothic"/>
                <w:b/>
                <w:bCs/>
                <w:sz w:val="18"/>
                <w:szCs w:val="18"/>
              </w:rPr>
              <w:t xml:space="preserve"> </w:t>
            </w:r>
            <w:r w:rsidRPr="005B4B37">
              <w:rPr>
                <w:rFonts w:ascii="Century Gothic" w:hAnsi="Century Gothic"/>
                <w:b/>
                <w:bCs/>
                <w:sz w:val="18"/>
                <w:szCs w:val="18"/>
              </w:rPr>
              <w:t>is Approved</w:t>
            </w:r>
          </w:p>
        </w:tc>
        <w:tc>
          <w:tcPr>
            <w:tcW w:w="441" w:type="pct"/>
            <w:tcMar>
              <w:top w:w="0" w:type="dxa"/>
              <w:left w:w="108" w:type="dxa"/>
              <w:bottom w:w="0" w:type="dxa"/>
              <w:right w:w="108" w:type="dxa"/>
            </w:tcMar>
            <w:vAlign w:val="center"/>
            <w:hideMark/>
          </w:tcPr>
          <w:p w14:paraId="57F4F5D7" w14:textId="26673B0A" w:rsidR="00ED5AEB" w:rsidRPr="005B4B37" w:rsidRDefault="00D31A9B" w:rsidP="00472C9F">
            <w:pPr>
              <w:autoSpaceDE w:val="0"/>
              <w:autoSpaceDN w:val="0"/>
              <w:rPr>
                <w:rFonts w:ascii="Century Gothic" w:hAnsi="Century Gothic"/>
                <w:b/>
                <w:bCs/>
                <w:sz w:val="18"/>
                <w:szCs w:val="18"/>
              </w:rPr>
            </w:pPr>
            <w:r>
              <w:rPr>
                <w:rFonts w:ascii="Century Gothic" w:hAnsi="Century Gothic"/>
                <w:b/>
                <w:bCs/>
                <w:sz w:val="18"/>
                <w:szCs w:val="18"/>
              </w:rPr>
              <w:t>497</w:t>
            </w:r>
          </w:p>
        </w:tc>
        <w:tc>
          <w:tcPr>
            <w:tcW w:w="1996" w:type="pct"/>
            <w:tcMar>
              <w:top w:w="0" w:type="dxa"/>
              <w:left w:w="108" w:type="dxa"/>
              <w:bottom w:w="0" w:type="dxa"/>
              <w:right w:w="108" w:type="dxa"/>
            </w:tcMar>
            <w:vAlign w:val="center"/>
            <w:hideMark/>
          </w:tcPr>
          <w:p w14:paraId="6B880C93" w14:textId="317C9A20" w:rsidR="00ED5AEB" w:rsidRPr="005B4B37" w:rsidRDefault="00ED5AEB" w:rsidP="00472C9F">
            <w:pPr>
              <w:autoSpaceDE w:val="0"/>
              <w:autoSpaceDN w:val="0"/>
              <w:rPr>
                <w:rFonts w:ascii="Century Gothic" w:hAnsi="Century Gothic"/>
                <w:b/>
                <w:bCs/>
                <w:sz w:val="18"/>
                <w:szCs w:val="18"/>
              </w:rPr>
            </w:pPr>
            <w:r w:rsidRPr="005B4B37">
              <w:rPr>
                <w:rFonts w:ascii="Century Gothic" w:hAnsi="Century Gothic"/>
                <w:b/>
                <w:bCs/>
                <w:sz w:val="18"/>
                <w:szCs w:val="18"/>
              </w:rPr>
              <w:t xml:space="preserve">Number of Trips Available if Proposed </w:t>
            </w:r>
            <w:r w:rsidR="00B95192">
              <w:rPr>
                <w:rFonts w:ascii="Century Gothic" w:hAnsi="Century Gothic"/>
                <w:b/>
                <w:bCs/>
                <w:sz w:val="18"/>
                <w:szCs w:val="18"/>
              </w:rPr>
              <w:t xml:space="preserve">Project </w:t>
            </w:r>
            <w:r w:rsidRPr="005B4B37">
              <w:rPr>
                <w:rFonts w:ascii="Century Gothic" w:hAnsi="Century Gothic"/>
                <w:b/>
                <w:bCs/>
                <w:sz w:val="18"/>
                <w:szCs w:val="18"/>
              </w:rPr>
              <w:t>is Approved</w:t>
            </w:r>
          </w:p>
        </w:tc>
        <w:tc>
          <w:tcPr>
            <w:tcW w:w="527" w:type="pct"/>
            <w:tcMar>
              <w:top w:w="0" w:type="dxa"/>
              <w:left w:w="108" w:type="dxa"/>
              <w:bottom w:w="0" w:type="dxa"/>
              <w:right w:w="108" w:type="dxa"/>
            </w:tcMar>
            <w:vAlign w:val="center"/>
            <w:hideMark/>
          </w:tcPr>
          <w:p w14:paraId="5D574A94" w14:textId="346925AC" w:rsidR="00ED5AEB" w:rsidRPr="00177AB7" w:rsidRDefault="00ED5AEB" w:rsidP="00472C9F">
            <w:pPr>
              <w:autoSpaceDE w:val="0"/>
              <w:autoSpaceDN w:val="0"/>
              <w:rPr>
                <w:rFonts w:ascii="Century Gothic" w:hAnsi="Century Gothic"/>
                <w:b/>
                <w:bCs/>
                <w:sz w:val="18"/>
                <w:szCs w:val="18"/>
                <w:highlight w:val="yellow"/>
              </w:rPr>
            </w:pPr>
            <w:r w:rsidRPr="004C16DE">
              <w:rPr>
                <w:rFonts w:ascii="Century Gothic" w:hAnsi="Century Gothic"/>
                <w:b/>
                <w:bCs/>
                <w:sz w:val="18"/>
                <w:szCs w:val="18"/>
              </w:rPr>
              <w:t>1</w:t>
            </w:r>
            <w:r w:rsidR="00D31A9B">
              <w:rPr>
                <w:rFonts w:ascii="Century Gothic" w:hAnsi="Century Gothic"/>
                <w:b/>
                <w:bCs/>
                <w:sz w:val="18"/>
                <w:szCs w:val="18"/>
              </w:rPr>
              <w:t>45</w:t>
            </w:r>
          </w:p>
        </w:tc>
      </w:tr>
    </w:tbl>
    <w:p w14:paraId="1BC4E8F7" w14:textId="77777777" w:rsidR="00ED5AEB" w:rsidRPr="005B4B37" w:rsidRDefault="00ED5AEB" w:rsidP="0028568B">
      <w:pPr>
        <w:pStyle w:val="BodyText3"/>
        <w:spacing w:after="0" w:line="240" w:lineRule="auto"/>
        <w:ind w:left="274"/>
        <w:jc w:val="both"/>
        <w:rPr>
          <w:rFonts w:ascii="Century Gothic" w:hAnsi="Century Gothic"/>
          <w:i/>
          <w:iCs/>
          <w:color w:val="000000"/>
          <w:sz w:val="14"/>
          <w:szCs w:val="14"/>
        </w:rPr>
      </w:pPr>
      <w:r w:rsidRPr="005B4B37">
        <w:rPr>
          <w:rFonts w:ascii="Century Gothic" w:hAnsi="Century Gothic"/>
          <w:i/>
          <w:iCs/>
          <w:color w:val="000000"/>
          <w:sz w:val="14"/>
          <w:szCs w:val="14"/>
        </w:rPr>
        <w:t>(1) Includes existing 3,050 units as of July 1998, built, approved not yet built, and any pending litigation.</w:t>
      </w:r>
    </w:p>
    <w:p w14:paraId="6C2A0BCB" w14:textId="77777777" w:rsidR="00ED5AEB" w:rsidRPr="005B4B37" w:rsidRDefault="00ED5AEB" w:rsidP="0028568B">
      <w:pPr>
        <w:pStyle w:val="BodyText3"/>
        <w:spacing w:after="0" w:line="240" w:lineRule="auto"/>
        <w:ind w:left="274"/>
        <w:jc w:val="both"/>
        <w:rPr>
          <w:rFonts w:ascii="Century Gothic" w:hAnsi="Century Gothic"/>
          <w:i/>
          <w:iCs/>
          <w:color w:val="000000"/>
          <w:sz w:val="14"/>
          <w:szCs w:val="14"/>
        </w:rPr>
      </w:pPr>
      <w:r w:rsidRPr="005B4B37">
        <w:rPr>
          <w:rFonts w:ascii="Century Gothic" w:hAnsi="Century Gothic"/>
          <w:i/>
          <w:iCs/>
          <w:color w:val="000000"/>
          <w:sz w:val="14"/>
          <w:szCs w:val="14"/>
        </w:rPr>
        <w:t>(2) Demolition credits for properties that demolition structures after 1989 and did not receive new approvals.</w:t>
      </w:r>
    </w:p>
    <w:p w14:paraId="24135033" w14:textId="2D99CEA3" w:rsidR="00ED5AEB" w:rsidRDefault="00ED5AEB" w:rsidP="0028568B">
      <w:pPr>
        <w:pStyle w:val="BodyText3"/>
        <w:spacing w:after="0" w:line="240" w:lineRule="auto"/>
        <w:ind w:left="274"/>
        <w:jc w:val="both"/>
        <w:rPr>
          <w:rFonts w:ascii="Century Gothic" w:hAnsi="Century Gothic"/>
          <w:i/>
          <w:iCs/>
          <w:color w:val="000000"/>
          <w:sz w:val="14"/>
          <w:szCs w:val="14"/>
        </w:rPr>
      </w:pPr>
      <w:r>
        <w:rPr>
          <w:rFonts w:ascii="Century Gothic" w:hAnsi="Century Gothic"/>
          <w:i/>
          <w:iCs/>
          <w:color w:val="000000"/>
          <w:sz w:val="14"/>
          <w:szCs w:val="14"/>
        </w:rPr>
        <w:t xml:space="preserve">(3) Net increase for units from </w:t>
      </w:r>
      <w:r w:rsidR="00577A5F">
        <w:rPr>
          <w:rFonts w:ascii="Century Gothic" w:hAnsi="Century Gothic"/>
          <w:i/>
          <w:iCs/>
          <w:color w:val="000000"/>
          <w:sz w:val="14"/>
          <w:szCs w:val="14"/>
        </w:rPr>
        <w:t>existing units</w:t>
      </w:r>
      <w:r w:rsidR="006657A5">
        <w:rPr>
          <w:rFonts w:ascii="Century Gothic" w:hAnsi="Century Gothic"/>
          <w:i/>
          <w:iCs/>
          <w:color w:val="000000"/>
          <w:sz w:val="14"/>
          <w:szCs w:val="14"/>
        </w:rPr>
        <w:t xml:space="preserve"> and trips</w:t>
      </w:r>
      <w:r>
        <w:rPr>
          <w:rFonts w:ascii="Century Gothic" w:hAnsi="Century Gothic"/>
          <w:i/>
          <w:iCs/>
          <w:color w:val="000000"/>
          <w:sz w:val="14"/>
          <w:szCs w:val="14"/>
        </w:rPr>
        <w:t xml:space="preserve">. </w:t>
      </w:r>
    </w:p>
    <w:p w14:paraId="38CBC5E8" w14:textId="77777777" w:rsidR="0028568B" w:rsidRDefault="0028568B" w:rsidP="0028568B">
      <w:pPr>
        <w:pStyle w:val="BodyText3"/>
        <w:spacing w:after="0" w:line="240" w:lineRule="auto"/>
        <w:ind w:left="274"/>
        <w:jc w:val="both"/>
        <w:rPr>
          <w:rFonts w:ascii="Century Gothic" w:hAnsi="Century Gothic"/>
          <w:i/>
          <w:iCs/>
          <w:color w:val="000000"/>
          <w:sz w:val="14"/>
          <w:szCs w:val="14"/>
        </w:rPr>
      </w:pPr>
    </w:p>
    <w:p w14:paraId="2A334333" w14:textId="365F1670" w:rsidR="00D90EEA" w:rsidRPr="005C63AF" w:rsidRDefault="00D90EEA" w:rsidP="00D90EEA">
      <w:pPr>
        <w:pStyle w:val="BodyText3"/>
        <w:spacing w:after="0"/>
        <w:jc w:val="both"/>
        <w:rPr>
          <w:rFonts w:ascii="Arial" w:hAnsi="Arial" w:cs="Arial"/>
          <w:b/>
          <w:bCs/>
          <w:sz w:val="24"/>
          <w:szCs w:val="24"/>
          <w:u w:val="single"/>
        </w:rPr>
      </w:pPr>
      <w:r w:rsidRPr="007621EF">
        <w:rPr>
          <w:rFonts w:ascii="Arial" w:hAnsi="Arial" w:cs="Arial"/>
          <w:b/>
          <w:bCs/>
          <w:sz w:val="24"/>
          <w:szCs w:val="24"/>
          <w:u w:val="single"/>
        </w:rPr>
        <w:t>Public Participation</w:t>
      </w:r>
    </w:p>
    <w:p w14:paraId="3F193064" w14:textId="50C9F82E" w:rsidR="00FE20F3" w:rsidRDefault="003173BE" w:rsidP="003173BE">
      <w:pPr>
        <w:autoSpaceDE w:val="0"/>
        <w:autoSpaceDN w:val="0"/>
        <w:adjustRightInd w:val="0"/>
        <w:spacing w:after="0" w:line="240" w:lineRule="auto"/>
        <w:jc w:val="both"/>
        <w:rPr>
          <w:rFonts w:ascii="Arial" w:hAnsi="Arial" w:cs="Arial"/>
          <w:sz w:val="24"/>
          <w:szCs w:val="24"/>
        </w:rPr>
      </w:pPr>
      <w:r w:rsidRPr="003173BE">
        <w:rPr>
          <w:rFonts w:ascii="Arial" w:hAnsi="Arial" w:cs="Arial"/>
          <w:sz w:val="24"/>
          <w:szCs w:val="24"/>
        </w:rPr>
        <w:t>Pursuant to the City’s Unified Land Development Regulations (“ULDR”) Section 47-27.4., the</w:t>
      </w:r>
      <w:r>
        <w:rPr>
          <w:rFonts w:ascii="Arial" w:hAnsi="Arial" w:cs="Arial"/>
          <w:sz w:val="24"/>
          <w:szCs w:val="24"/>
        </w:rPr>
        <w:t xml:space="preserve"> </w:t>
      </w:r>
      <w:r w:rsidR="00337E20">
        <w:rPr>
          <w:rFonts w:ascii="Arial" w:hAnsi="Arial" w:cs="Arial"/>
          <w:sz w:val="24"/>
          <w:szCs w:val="24"/>
        </w:rPr>
        <w:t>a</w:t>
      </w:r>
      <w:r w:rsidR="00337E20" w:rsidRPr="003173BE">
        <w:rPr>
          <w:rFonts w:ascii="Arial" w:hAnsi="Arial" w:cs="Arial"/>
          <w:sz w:val="24"/>
          <w:szCs w:val="24"/>
        </w:rPr>
        <w:t xml:space="preserve">pplicant </w:t>
      </w:r>
      <w:r w:rsidRPr="003173BE">
        <w:rPr>
          <w:rFonts w:ascii="Arial" w:hAnsi="Arial" w:cs="Arial"/>
          <w:sz w:val="24"/>
          <w:szCs w:val="24"/>
        </w:rPr>
        <w:t xml:space="preserve">held public participation meetings to present the </w:t>
      </w:r>
      <w:r w:rsidR="00337E20">
        <w:rPr>
          <w:rFonts w:ascii="Arial" w:hAnsi="Arial" w:cs="Arial"/>
          <w:sz w:val="24"/>
          <w:szCs w:val="24"/>
        </w:rPr>
        <w:t>p</w:t>
      </w:r>
      <w:r w:rsidR="00337E20" w:rsidRPr="003173BE">
        <w:rPr>
          <w:rFonts w:ascii="Arial" w:hAnsi="Arial" w:cs="Arial"/>
          <w:sz w:val="24"/>
          <w:szCs w:val="24"/>
        </w:rPr>
        <w:t>ro</w:t>
      </w:r>
      <w:r w:rsidR="00337E20">
        <w:rPr>
          <w:rFonts w:ascii="Arial" w:hAnsi="Arial" w:cs="Arial"/>
          <w:sz w:val="24"/>
          <w:szCs w:val="24"/>
        </w:rPr>
        <w:t xml:space="preserve">posed </w:t>
      </w:r>
      <w:r w:rsidR="00C87605">
        <w:rPr>
          <w:rFonts w:ascii="Arial" w:hAnsi="Arial" w:cs="Arial"/>
          <w:sz w:val="24"/>
          <w:szCs w:val="24"/>
        </w:rPr>
        <w:t xml:space="preserve">multifamily residential </w:t>
      </w:r>
      <w:r w:rsidR="00151126">
        <w:rPr>
          <w:rFonts w:ascii="Arial" w:hAnsi="Arial" w:cs="Arial"/>
          <w:sz w:val="24"/>
          <w:szCs w:val="24"/>
        </w:rPr>
        <w:t>project</w:t>
      </w:r>
      <w:r w:rsidR="00A833BD">
        <w:rPr>
          <w:rFonts w:ascii="Arial" w:hAnsi="Arial" w:cs="Arial"/>
          <w:sz w:val="24"/>
          <w:szCs w:val="24"/>
        </w:rPr>
        <w:t xml:space="preserve"> as listed below</w:t>
      </w:r>
      <w:r w:rsidR="00FE20F3">
        <w:rPr>
          <w:rFonts w:ascii="Arial" w:hAnsi="Arial" w:cs="Arial"/>
          <w:sz w:val="24"/>
          <w:szCs w:val="24"/>
        </w:rPr>
        <w:t>:</w:t>
      </w:r>
      <w:r w:rsidR="00DC557B">
        <w:rPr>
          <w:rFonts w:ascii="Arial" w:hAnsi="Arial" w:cs="Arial"/>
          <w:sz w:val="24"/>
          <w:szCs w:val="24"/>
        </w:rPr>
        <w:t xml:space="preserve">  </w:t>
      </w:r>
    </w:p>
    <w:p w14:paraId="366233DD" w14:textId="303AD343" w:rsidR="00FE20F3" w:rsidRPr="00FE20F3" w:rsidRDefault="00EE2CFC" w:rsidP="00FE20F3">
      <w:pPr>
        <w:pStyle w:val="ListParagraph"/>
        <w:numPr>
          <w:ilvl w:val="0"/>
          <w:numId w:val="17"/>
        </w:numPr>
        <w:autoSpaceDE w:val="0"/>
        <w:autoSpaceDN w:val="0"/>
        <w:adjustRightInd w:val="0"/>
        <w:spacing w:after="0" w:line="240" w:lineRule="auto"/>
        <w:jc w:val="both"/>
        <w:rPr>
          <w:rFonts w:ascii="Arial" w:hAnsi="Arial" w:cs="Arial"/>
          <w:sz w:val="24"/>
          <w:szCs w:val="24"/>
        </w:rPr>
      </w:pPr>
      <w:r w:rsidRPr="00FE20F3">
        <w:rPr>
          <w:rFonts w:ascii="Arial" w:hAnsi="Arial" w:cs="Arial"/>
          <w:sz w:val="24"/>
          <w:szCs w:val="24"/>
        </w:rPr>
        <w:t xml:space="preserve">Central Beach Alliance </w:t>
      </w:r>
      <w:r w:rsidR="005021A8" w:rsidRPr="00FE20F3">
        <w:rPr>
          <w:rFonts w:ascii="Arial" w:hAnsi="Arial" w:cs="Arial"/>
          <w:sz w:val="24"/>
          <w:szCs w:val="24"/>
        </w:rPr>
        <w:t xml:space="preserve">(CBA) </w:t>
      </w:r>
      <w:r w:rsidRPr="00FE20F3">
        <w:rPr>
          <w:rFonts w:ascii="Arial" w:hAnsi="Arial" w:cs="Arial"/>
          <w:sz w:val="24"/>
          <w:szCs w:val="24"/>
        </w:rPr>
        <w:t>Board</w:t>
      </w:r>
      <w:r w:rsidR="003173BE" w:rsidRPr="00FE20F3">
        <w:rPr>
          <w:rFonts w:ascii="Arial" w:hAnsi="Arial" w:cs="Arial"/>
          <w:sz w:val="24"/>
          <w:szCs w:val="24"/>
        </w:rPr>
        <w:t xml:space="preserve"> </w:t>
      </w:r>
      <w:r w:rsidR="005021A8" w:rsidRPr="00FE20F3">
        <w:rPr>
          <w:rFonts w:ascii="Arial" w:hAnsi="Arial" w:cs="Arial"/>
          <w:sz w:val="24"/>
          <w:szCs w:val="24"/>
        </w:rPr>
        <w:t>meeting</w:t>
      </w:r>
      <w:r w:rsidR="00BE62BD">
        <w:rPr>
          <w:rFonts w:ascii="Arial" w:hAnsi="Arial" w:cs="Arial"/>
          <w:sz w:val="24"/>
          <w:szCs w:val="24"/>
        </w:rPr>
        <w:t xml:space="preserve"> – January 8, 2026</w:t>
      </w:r>
      <w:r w:rsidR="005021A8" w:rsidRPr="00FE20F3">
        <w:rPr>
          <w:rFonts w:ascii="Arial" w:hAnsi="Arial" w:cs="Arial"/>
          <w:sz w:val="24"/>
          <w:szCs w:val="24"/>
        </w:rPr>
        <w:t xml:space="preserve">.  </w:t>
      </w:r>
    </w:p>
    <w:p w14:paraId="4C97A25E" w14:textId="66600362" w:rsidR="00FE20F3" w:rsidRPr="00FE20F3" w:rsidRDefault="0014552A" w:rsidP="00FE20F3">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5021A8" w:rsidRPr="00FE20F3">
        <w:rPr>
          <w:rFonts w:ascii="Arial" w:hAnsi="Arial" w:cs="Arial"/>
          <w:sz w:val="24"/>
          <w:szCs w:val="24"/>
        </w:rPr>
        <w:t>resentation</w:t>
      </w:r>
      <w:r w:rsidR="007B01F5" w:rsidRPr="00FE20F3">
        <w:rPr>
          <w:rFonts w:ascii="Arial" w:hAnsi="Arial" w:cs="Arial"/>
          <w:sz w:val="24"/>
          <w:szCs w:val="24"/>
        </w:rPr>
        <w:t>s</w:t>
      </w:r>
      <w:r w:rsidR="005021A8" w:rsidRPr="00FE20F3">
        <w:rPr>
          <w:rFonts w:ascii="Arial" w:hAnsi="Arial" w:cs="Arial"/>
          <w:sz w:val="24"/>
          <w:szCs w:val="24"/>
        </w:rPr>
        <w:t xml:space="preserve"> w</w:t>
      </w:r>
      <w:r w:rsidR="007B01F5" w:rsidRPr="00FE20F3">
        <w:rPr>
          <w:rFonts w:ascii="Arial" w:hAnsi="Arial" w:cs="Arial"/>
          <w:sz w:val="24"/>
          <w:szCs w:val="24"/>
        </w:rPr>
        <w:t>ere</w:t>
      </w:r>
      <w:r w:rsidR="005021A8" w:rsidRPr="00FE20F3">
        <w:rPr>
          <w:rFonts w:ascii="Arial" w:hAnsi="Arial" w:cs="Arial"/>
          <w:sz w:val="24"/>
          <w:szCs w:val="24"/>
        </w:rPr>
        <w:t xml:space="preserve"> made to the CBA </w:t>
      </w:r>
      <w:r w:rsidR="00415E98" w:rsidRPr="00FE20F3">
        <w:rPr>
          <w:rFonts w:ascii="Arial" w:hAnsi="Arial" w:cs="Arial"/>
          <w:sz w:val="24"/>
          <w:szCs w:val="24"/>
        </w:rPr>
        <w:t>general membership</w:t>
      </w:r>
      <w:r>
        <w:rPr>
          <w:rFonts w:ascii="Arial" w:hAnsi="Arial" w:cs="Arial"/>
          <w:sz w:val="24"/>
          <w:szCs w:val="24"/>
        </w:rPr>
        <w:t xml:space="preserve"> -</w:t>
      </w:r>
      <w:r w:rsidRPr="00FE20F3">
        <w:rPr>
          <w:rFonts w:ascii="Arial" w:hAnsi="Arial" w:cs="Arial"/>
          <w:sz w:val="24"/>
          <w:szCs w:val="24"/>
        </w:rPr>
        <w:t xml:space="preserve"> January 15, 2026, and February 19, 2026,</w:t>
      </w:r>
    </w:p>
    <w:p w14:paraId="6E38A6E3" w14:textId="107A4243" w:rsidR="0014552A" w:rsidRDefault="0014552A" w:rsidP="00FE20F3">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415E98" w:rsidRPr="00FE20F3">
        <w:rPr>
          <w:rFonts w:ascii="Arial" w:hAnsi="Arial" w:cs="Arial"/>
          <w:sz w:val="24"/>
          <w:szCs w:val="24"/>
        </w:rPr>
        <w:t>resentation was made to Bayshore Strong</w:t>
      </w:r>
      <w:r w:rsidRPr="0014552A">
        <w:rPr>
          <w:rFonts w:ascii="Arial" w:hAnsi="Arial" w:cs="Arial"/>
          <w:sz w:val="24"/>
          <w:szCs w:val="24"/>
        </w:rPr>
        <w:t xml:space="preserve"> </w:t>
      </w:r>
      <w:r>
        <w:rPr>
          <w:rFonts w:ascii="Arial" w:hAnsi="Arial" w:cs="Arial"/>
          <w:sz w:val="24"/>
          <w:szCs w:val="24"/>
        </w:rPr>
        <w:t xml:space="preserve">- </w:t>
      </w:r>
      <w:r w:rsidRPr="00FE20F3">
        <w:rPr>
          <w:rFonts w:ascii="Arial" w:hAnsi="Arial" w:cs="Arial"/>
          <w:sz w:val="24"/>
          <w:szCs w:val="24"/>
        </w:rPr>
        <w:t>January 26, 2026</w:t>
      </w:r>
      <w:r w:rsidR="00570BE4" w:rsidRPr="00FE20F3">
        <w:rPr>
          <w:rFonts w:ascii="Arial" w:hAnsi="Arial" w:cs="Arial"/>
          <w:sz w:val="24"/>
          <w:szCs w:val="24"/>
        </w:rPr>
        <w:t>.  A virtual meeting was held on February 9, 2026</w:t>
      </w:r>
      <w:r w:rsidR="003B13D5" w:rsidRPr="00FE20F3">
        <w:rPr>
          <w:rFonts w:ascii="Arial" w:hAnsi="Arial" w:cs="Arial"/>
          <w:sz w:val="24"/>
          <w:szCs w:val="24"/>
        </w:rPr>
        <w:t xml:space="preserve">.  </w:t>
      </w:r>
      <w:r w:rsidR="00C875B1" w:rsidRPr="00FE20F3">
        <w:rPr>
          <w:rFonts w:ascii="Arial" w:hAnsi="Arial" w:cs="Arial"/>
          <w:sz w:val="24"/>
          <w:szCs w:val="24"/>
        </w:rPr>
        <w:t xml:space="preserve"> </w:t>
      </w:r>
    </w:p>
    <w:p w14:paraId="3922DFDD" w14:textId="59013C60" w:rsidR="00FE20F3" w:rsidRPr="00FE20F3" w:rsidRDefault="0014552A" w:rsidP="00FE20F3">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M</w:t>
      </w:r>
      <w:r w:rsidRPr="00FE20F3">
        <w:rPr>
          <w:rFonts w:ascii="Arial" w:hAnsi="Arial" w:cs="Arial"/>
          <w:sz w:val="24"/>
          <w:szCs w:val="24"/>
        </w:rPr>
        <w:t>eeting is scheduled with the Le Cascade Board and membership</w:t>
      </w:r>
      <w:r>
        <w:rPr>
          <w:rFonts w:ascii="Arial" w:hAnsi="Arial" w:cs="Arial"/>
          <w:sz w:val="24"/>
          <w:szCs w:val="24"/>
        </w:rPr>
        <w:t xml:space="preserve"> – April 9, 2026.</w:t>
      </w:r>
    </w:p>
    <w:p w14:paraId="4EF8A141" w14:textId="77777777" w:rsidR="0014552A" w:rsidRDefault="0014552A">
      <w:pPr>
        <w:autoSpaceDE w:val="0"/>
        <w:autoSpaceDN w:val="0"/>
        <w:adjustRightInd w:val="0"/>
        <w:spacing w:after="0" w:line="240" w:lineRule="auto"/>
        <w:jc w:val="both"/>
        <w:rPr>
          <w:rFonts w:ascii="Arial" w:hAnsi="Arial" w:cs="Arial"/>
          <w:sz w:val="24"/>
          <w:szCs w:val="24"/>
        </w:rPr>
      </w:pPr>
    </w:p>
    <w:p w14:paraId="133DE5B9" w14:textId="35FC8691" w:rsidR="00DC557B" w:rsidRPr="00FE20F3" w:rsidRDefault="00FC2195" w:rsidP="0014552A">
      <w:pPr>
        <w:autoSpaceDE w:val="0"/>
        <w:autoSpaceDN w:val="0"/>
        <w:adjustRightInd w:val="0"/>
        <w:spacing w:after="0" w:line="240" w:lineRule="auto"/>
        <w:jc w:val="both"/>
        <w:rPr>
          <w:rFonts w:ascii="Arial" w:hAnsi="Arial" w:cs="Arial"/>
          <w:sz w:val="24"/>
          <w:szCs w:val="24"/>
        </w:rPr>
      </w:pPr>
      <w:r w:rsidRPr="00FE20F3">
        <w:rPr>
          <w:rFonts w:ascii="Arial" w:hAnsi="Arial" w:cs="Arial"/>
          <w:sz w:val="24"/>
          <w:szCs w:val="24"/>
        </w:rPr>
        <w:t xml:space="preserve">The </w:t>
      </w:r>
      <w:r w:rsidR="00C87605" w:rsidRPr="00FE20F3">
        <w:rPr>
          <w:rFonts w:ascii="Arial" w:hAnsi="Arial" w:cs="Arial"/>
          <w:sz w:val="24"/>
          <w:szCs w:val="24"/>
        </w:rPr>
        <w:t>public</w:t>
      </w:r>
      <w:r w:rsidRPr="00FE20F3">
        <w:rPr>
          <w:rFonts w:ascii="Arial" w:hAnsi="Arial" w:cs="Arial"/>
          <w:sz w:val="24"/>
          <w:szCs w:val="24"/>
        </w:rPr>
        <w:t xml:space="preserve"> </w:t>
      </w:r>
      <w:r w:rsidR="00C87605" w:rsidRPr="00FE20F3">
        <w:rPr>
          <w:rFonts w:ascii="Arial" w:hAnsi="Arial" w:cs="Arial"/>
          <w:sz w:val="24"/>
          <w:szCs w:val="24"/>
        </w:rPr>
        <w:t xml:space="preserve">participation </w:t>
      </w:r>
      <w:r w:rsidRPr="00FE20F3">
        <w:rPr>
          <w:rFonts w:ascii="Arial" w:hAnsi="Arial" w:cs="Arial"/>
          <w:sz w:val="24"/>
          <w:szCs w:val="24"/>
        </w:rPr>
        <w:t xml:space="preserve">affidavit and </w:t>
      </w:r>
      <w:r w:rsidR="003173BE" w:rsidRPr="00FE20F3">
        <w:rPr>
          <w:rFonts w:ascii="Arial" w:hAnsi="Arial" w:cs="Arial"/>
          <w:sz w:val="24"/>
          <w:szCs w:val="24"/>
        </w:rPr>
        <w:t>summar</w:t>
      </w:r>
      <w:r w:rsidR="003D078E" w:rsidRPr="00FE20F3">
        <w:rPr>
          <w:rFonts w:ascii="Arial" w:hAnsi="Arial" w:cs="Arial"/>
          <w:sz w:val="24"/>
          <w:szCs w:val="24"/>
        </w:rPr>
        <w:t xml:space="preserve">y are provided as Exhibit </w:t>
      </w:r>
      <w:r w:rsidR="00FB1330" w:rsidRPr="00FE20F3">
        <w:rPr>
          <w:rFonts w:ascii="Arial" w:hAnsi="Arial" w:cs="Arial"/>
          <w:sz w:val="24"/>
          <w:szCs w:val="24"/>
        </w:rPr>
        <w:t>7</w:t>
      </w:r>
      <w:r w:rsidR="003173BE" w:rsidRPr="00FE20F3">
        <w:rPr>
          <w:rFonts w:ascii="Arial" w:hAnsi="Arial" w:cs="Arial"/>
          <w:sz w:val="24"/>
          <w:szCs w:val="24"/>
        </w:rPr>
        <w:t xml:space="preserve">. </w:t>
      </w:r>
    </w:p>
    <w:p w14:paraId="21711548" w14:textId="77777777" w:rsidR="00DC557B" w:rsidRDefault="00DC557B" w:rsidP="003173BE">
      <w:pPr>
        <w:autoSpaceDE w:val="0"/>
        <w:autoSpaceDN w:val="0"/>
        <w:adjustRightInd w:val="0"/>
        <w:spacing w:after="0" w:line="240" w:lineRule="auto"/>
        <w:jc w:val="both"/>
        <w:rPr>
          <w:rFonts w:ascii="Arial" w:hAnsi="Arial" w:cs="Arial"/>
          <w:sz w:val="24"/>
          <w:szCs w:val="24"/>
        </w:rPr>
      </w:pPr>
    </w:p>
    <w:p w14:paraId="27F7834F" w14:textId="09B2853D" w:rsidR="00E2672E" w:rsidRPr="00466291" w:rsidRDefault="00D90EEA" w:rsidP="003173BE">
      <w:pPr>
        <w:autoSpaceDE w:val="0"/>
        <w:autoSpaceDN w:val="0"/>
        <w:adjustRightInd w:val="0"/>
        <w:spacing w:after="0" w:line="240" w:lineRule="auto"/>
        <w:jc w:val="both"/>
        <w:rPr>
          <w:rFonts w:ascii="Century Gothic" w:hAnsi="Century Gothic" w:cs="Arial"/>
          <w:sz w:val="20"/>
          <w:szCs w:val="20"/>
        </w:rPr>
      </w:pPr>
      <w:r w:rsidRPr="005C63AF">
        <w:rPr>
          <w:rFonts w:ascii="Arial" w:hAnsi="Arial" w:cs="Arial"/>
          <w:sz w:val="24"/>
          <w:szCs w:val="24"/>
        </w:rPr>
        <w:t>This application is subject</w:t>
      </w:r>
      <w:r w:rsidR="005216B9" w:rsidRPr="005C63AF">
        <w:rPr>
          <w:rFonts w:ascii="Arial" w:hAnsi="Arial" w:cs="Arial"/>
          <w:sz w:val="24"/>
          <w:szCs w:val="24"/>
        </w:rPr>
        <w:t xml:space="preserve"> to</w:t>
      </w:r>
      <w:r w:rsidRPr="005C63AF">
        <w:rPr>
          <w:rFonts w:ascii="Arial" w:hAnsi="Arial" w:cs="Arial"/>
          <w:sz w:val="24"/>
          <w:szCs w:val="24"/>
        </w:rPr>
        <w:t xml:space="preserve"> public</w:t>
      </w:r>
      <w:r w:rsidR="00D521B1" w:rsidRPr="005C63AF">
        <w:rPr>
          <w:rFonts w:ascii="Arial" w:hAnsi="Arial" w:cs="Arial"/>
          <w:sz w:val="24"/>
          <w:szCs w:val="24"/>
        </w:rPr>
        <w:t xml:space="preserve"> sign notification requirements </w:t>
      </w:r>
      <w:r w:rsidRPr="005C63AF">
        <w:rPr>
          <w:rFonts w:ascii="Arial" w:hAnsi="Arial" w:cs="Arial"/>
          <w:sz w:val="24"/>
          <w:szCs w:val="24"/>
        </w:rPr>
        <w:t>established in ULDR Section 47-27.</w:t>
      </w:r>
      <w:r w:rsidR="00DD0D47" w:rsidRPr="005C63AF">
        <w:rPr>
          <w:rFonts w:ascii="Arial" w:hAnsi="Arial" w:cs="Arial"/>
          <w:sz w:val="24"/>
          <w:szCs w:val="24"/>
        </w:rPr>
        <w:t>2</w:t>
      </w:r>
      <w:r w:rsidR="00466291" w:rsidRPr="005C63AF">
        <w:rPr>
          <w:rFonts w:ascii="Arial" w:hAnsi="Arial" w:cs="Arial"/>
          <w:sz w:val="24"/>
          <w:szCs w:val="24"/>
        </w:rPr>
        <w:t xml:space="preserve">. </w:t>
      </w:r>
      <w:r w:rsidR="003D39C6">
        <w:rPr>
          <w:rFonts w:ascii="Arial" w:hAnsi="Arial" w:cs="Arial"/>
          <w:sz w:val="24"/>
          <w:szCs w:val="24"/>
        </w:rPr>
        <w:t>Two</w:t>
      </w:r>
      <w:r w:rsidR="001D7A63">
        <w:rPr>
          <w:rFonts w:ascii="Arial" w:hAnsi="Arial" w:cs="Arial"/>
          <w:sz w:val="24"/>
          <w:szCs w:val="24"/>
        </w:rPr>
        <w:t xml:space="preserve"> (</w:t>
      </w:r>
      <w:r w:rsidR="003D39C6">
        <w:rPr>
          <w:rFonts w:ascii="Arial" w:hAnsi="Arial" w:cs="Arial"/>
          <w:sz w:val="24"/>
          <w:szCs w:val="24"/>
        </w:rPr>
        <w:t>2</w:t>
      </w:r>
      <w:r w:rsidR="001D7A63">
        <w:rPr>
          <w:rFonts w:ascii="Arial" w:hAnsi="Arial" w:cs="Arial"/>
          <w:sz w:val="24"/>
          <w:szCs w:val="24"/>
        </w:rPr>
        <w:t>)</w:t>
      </w:r>
      <w:r w:rsidR="000806CF">
        <w:rPr>
          <w:rFonts w:ascii="Arial" w:hAnsi="Arial" w:cs="Arial"/>
          <w:sz w:val="24"/>
          <w:szCs w:val="24"/>
        </w:rPr>
        <w:t xml:space="preserve"> </w:t>
      </w:r>
      <w:r w:rsidR="00466291" w:rsidRPr="005C63AF">
        <w:rPr>
          <w:rFonts w:ascii="Arial" w:hAnsi="Arial" w:cs="Arial"/>
          <w:sz w:val="24"/>
          <w:szCs w:val="24"/>
        </w:rPr>
        <w:t>sign</w:t>
      </w:r>
      <w:r w:rsidR="007621EF">
        <w:rPr>
          <w:rFonts w:ascii="Arial" w:hAnsi="Arial" w:cs="Arial"/>
          <w:sz w:val="24"/>
          <w:szCs w:val="24"/>
        </w:rPr>
        <w:t>s</w:t>
      </w:r>
      <w:r w:rsidR="00466291" w:rsidRPr="005C63AF">
        <w:rPr>
          <w:rFonts w:ascii="Arial" w:hAnsi="Arial" w:cs="Arial"/>
          <w:sz w:val="24"/>
          <w:szCs w:val="24"/>
        </w:rPr>
        <w:t xml:space="preserve"> w</w:t>
      </w:r>
      <w:r w:rsidR="003D39C6">
        <w:rPr>
          <w:rFonts w:ascii="Arial" w:hAnsi="Arial" w:cs="Arial"/>
          <w:sz w:val="24"/>
          <w:szCs w:val="24"/>
        </w:rPr>
        <w:t>ere</w:t>
      </w:r>
      <w:r w:rsidR="00466291" w:rsidRPr="005C63AF">
        <w:rPr>
          <w:rFonts w:ascii="Arial" w:hAnsi="Arial" w:cs="Arial"/>
          <w:sz w:val="24"/>
          <w:szCs w:val="24"/>
        </w:rPr>
        <w:t xml:space="preserve"> posted on the property facing </w:t>
      </w:r>
      <w:r w:rsidR="003D39C6">
        <w:rPr>
          <w:rFonts w:ascii="Arial" w:hAnsi="Arial" w:cs="Arial"/>
          <w:sz w:val="24"/>
          <w:szCs w:val="24"/>
        </w:rPr>
        <w:t xml:space="preserve">the </w:t>
      </w:r>
      <w:r w:rsidR="00337E20">
        <w:rPr>
          <w:rFonts w:ascii="Arial" w:hAnsi="Arial" w:cs="Arial"/>
          <w:sz w:val="24"/>
          <w:szCs w:val="24"/>
        </w:rPr>
        <w:t xml:space="preserve">Intracoastal Waterway </w:t>
      </w:r>
      <w:r w:rsidR="003D39C6">
        <w:rPr>
          <w:rFonts w:ascii="Arial" w:hAnsi="Arial" w:cs="Arial"/>
          <w:sz w:val="24"/>
          <w:szCs w:val="24"/>
        </w:rPr>
        <w:t>and Bayshore Drive</w:t>
      </w:r>
      <w:r w:rsidR="00466291" w:rsidRPr="005C63AF">
        <w:rPr>
          <w:rFonts w:ascii="Arial" w:hAnsi="Arial" w:cs="Arial"/>
          <w:sz w:val="24"/>
          <w:szCs w:val="24"/>
        </w:rPr>
        <w:t>.</w:t>
      </w:r>
      <w:r w:rsidR="00466291" w:rsidRPr="00D12264">
        <w:rPr>
          <w:rFonts w:ascii="Arial" w:hAnsi="Arial" w:cs="Arial"/>
          <w:sz w:val="24"/>
          <w:szCs w:val="24"/>
        </w:rPr>
        <w:t xml:space="preserve"> </w:t>
      </w:r>
    </w:p>
    <w:p w14:paraId="47A94C06" w14:textId="77777777" w:rsidR="002758AD" w:rsidRDefault="002758AD" w:rsidP="003173BE">
      <w:pPr>
        <w:spacing w:after="0" w:line="240" w:lineRule="auto"/>
        <w:jc w:val="both"/>
        <w:rPr>
          <w:rFonts w:ascii="Arial" w:hAnsi="Arial" w:cs="Arial"/>
          <w:b/>
          <w:bCs/>
          <w:sz w:val="24"/>
          <w:szCs w:val="24"/>
          <w:u w:val="single"/>
        </w:rPr>
      </w:pPr>
    </w:p>
    <w:p w14:paraId="716F1CA3" w14:textId="1D493EBE" w:rsidR="002758AD" w:rsidRDefault="002758AD" w:rsidP="008140ED">
      <w:pPr>
        <w:pStyle w:val="paragraph"/>
        <w:spacing w:before="0" w:beforeAutospacing="0" w:after="0" w:afterAutospacing="0"/>
        <w:jc w:val="both"/>
        <w:textAlignment w:val="baseline"/>
        <w:rPr>
          <w:rFonts w:ascii="Arial" w:hAnsi="Arial" w:cs="Arial"/>
          <w:b/>
          <w:bCs/>
          <w:u w:val="single"/>
        </w:rPr>
      </w:pPr>
      <w:r>
        <w:rPr>
          <w:rFonts w:ascii="Arial" w:hAnsi="Arial" w:cs="Arial"/>
          <w:b/>
          <w:bCs/>
          <w:u w:val="single"/>
        </w:rPr>
        <w:t>Conditions of Approval</w:t>
      </w:r>
      <w:r w:rsidR="00B40EDC">
        <w:rPr>
          <w:rFonts w:ascii="Arial" w:hAnsi="Arial" w:cs="Arial"/>
          <w:b/>
          <w:bCs/>
          <w:u w:val="single"/>
        </w:rPr>
        <w:t xml:space="preserve"> </w:t>
      </w:r>
    </w:p>
    <w:p w14:paraId="50A2FFD9" w14:textId="573E24B7" w:rsidR="009C7E08" w:rsidRDefault="009C7E08" w:rsidP="005841B7">
      <w:pPr>
        <w:spacing w:after="0" w:line="240" w:lineRule="auto"/>
        <w:jc w:val="both"/>
        <w:rPr>
          <w:rFonts w:ascii="Arial" w:hAnsi="Arial" w:cs="Arial"/>
          <w:sz w:val="24"/>
          <w:szCs w:val="24"/>
        </w:rPr>
      </w:pPr>
      <w:r w:rsidRPr="009C7E08">
        <w:rPr>
          <w:rFonts w:ascii="Arial" w:hAnsi="Arial" w:cs="Arial"/>
          <w:sz w:val="24"/>
          <w:szCs w:val="24"/>
        </w:rPr>
        <w:t>Should the City Commission approve the development, the following conditions apply: </w:t>
      </w:r>
    </w:p>
    <w:p w14:paraId="3154506C" w14:textId="525E980C" w:rsidR="00C92902" w:rsidRPr="00C92902" w:rsidRDefault="00C92902" w:rsidP="005841B7">
      <w:pPr>
        <w:spacing w:after="0" w:line="240" w:lineRule="auto"/>
        <w:jc w:val="both"/>
        <w:rPr>
          <w:rFonts w:ascii="Arial" w:hAnsi="Arial" w:cs="Arial"/>
          <w:sz w:val="24"/>
          <w:szCs w:val="24"/>
        </w:rPr>
      </w:pPr>
    </w:p>
    <w:p w14:paraId="282DCFE9" w14:textId="77777777" w:rsidR="00633F0B" w:rsidRDefault="00633F0B" w:rsidP="00633F0B">
      <w:pPr>
        <w:numPr>
          <w:ilvl w:val="0"/>
          <w:numId w:val="18"/>
        </w:numPr>
        <w:spacing w:after="0" w:line="240" w:lineRule="auto"/>
        <w:jc w:val="both"/>
        <w:rPr>
          <w:rFonts w:ascii="Arial" w:hAnsi="Arial" w:cs="Arial"/>
          <w:sz w:val="24"/>
          <w:szCs w:val="24"/>
        </w:rPr>
      </w:pPr>
      <w:r w:rsidRPr="00633F0B">
        <w:rPr>
          <w:rFonts w:ascii="Arial" w:hAnsi="Arial" w:cs="Arial"/>
          <w:sz w:val="24"/>
          <w:szCs w:val="24"/>
        </w:rPr>
        <w:t>No archaeological deposits are anticipated within the subject property. However, if archaeological materials or features are discovered, work in the vicinity shall stop and the City shall be notified immediately to coordinate the discovery. If unmarked human remains are encountered, excavation in the vicinity shall halt immediately, and the archaeologist shall alert the City's historic preservation staff to coordinate the discovery and implement Chapter 872.05 Florida Statutes regarding unmarked human remains.</w:t>
      </w:r>
    </w:p>
    <w:p w14:paraId="11A24961" w14:textId="20A99F9C" w:rsidR="00633F0B" w:rsidRPr="00633F0B" w:rsidRDefault="00633F0B" w:rsidP="00633F0B">
      <w:pPr>
        <w:spacing w:after="0" w:line="240" w:lineRule="auto"/>
        <w:ind w:left="720"/>
        <w:jc w:val="both"/>
        <w:rPr>
          <w:rFonts w:ascii="Arial" w:hAnsi="Arial" w:cs="Arial"/>
          <w:sz w:val="24"/>
          <w:szCs w:val="24"/>
        </w:rPr>
      </w:pPr>
    </w:p>
    <w:p w14:paraId="008DF5B1" w14:textId="77777777" w:rsidR="00633F0B" w:rsidRPr="00633F0B" w:rsidRDefault="00633F0B" w:rsidP="00633F0B">
      <w:pPr>
        <w:numPr>
          <w:ilvl w:val="0"/>
          <w:numId w:val="18"/>
        </w:numPr>
        <w:spacing w:after="0" w:line="240" w:lineRule="auto"/>
        <w:jc w:val="both"/>
        <w:rPr>
          <w:rFonts w:ascii="Arial" w:hAnsi="Arial" w:cs="Arial"/>
          <w:sz w:val="24"/>
          <w:szCs w:val="24"/>
        </w:rPr>
      </w:pPr>
      <w:r w:rsidRPr="00633F0B">
        <w:rPr>
          <w:rFonts w:ascii="Arial" w:hAnsi="Arial" w:cs="Arial"/>
          <w:sz w:val="24"/>
          <w:szCs w:val="24"/>
        </w:rPr>
        <w:t xml:space="preserve">Both properties have been reviewed as part of a recent Architectural Resource Survey of this area. The property located at 623 Bayshore Drive has been </w:t>
      </w:r>
      <w:r w:rsidRPr="00633F0B">
        <w:rPr>
          <w:rFonts w:ascii="Arial" w:hAnsi="Arial" w:cs="Arial"/>
          <w:sz w:val="24"/>
          <w:szCs w:val="24"/>
        </w:rPr>
        <w:lastRenderedPageBreak/>
        <w:t>identified as a contributing property as part of a potential historic district in a recent Architectural Resource Survey and will be documented through a new Florida Master Site File Historic Structures Form. The property located at 701 Bayshore Drive has been identified as a potential historic landmark in a recent Architectural Resource Survey and has been documented through a Florida Master Site File Historic Structures Form (</w:t>
      </w:r>
      <w:proofErr w:type="spellStart"/>
      <w:r w:rsidRPr="00633F0B">
        <w:rPr>
          <w:rFonts w:ascii="Arial" w:hAnsi="Arial" w:cs="Arial"/>
          <w:sz w:val="24"/>
          <w:szCs w:val="24"/>
        </w:rPr>
        <w:t>FMSF</w:t>
      </w:r>
      <w:proofErr w:type="spellEnd"/>
      <w:r w:rsidRPr="00633F0B">
        <w:rPr>
          <w:rFonts w:ascii="Arial" w:hAnsi="Arial" w:cs="Arial"/>
          <w:sz w:val="24"/>
          <w:szCs w:val="24"/>
        </w:rPr>
        <w:t xml:space="preserve"> Number: BD04471). Prior to Final DRC and prior to demolition of these structures, provide color photos of the exterior and interior of the structure to Historic Preservation staff, Trisha Logan (tlogan@fortlauderdale.gov) to be included in the Florida Master Site File documentation that is held by the State of Florida’s Historic Resources Division.</w:t>
      </w:r>
    </w:p>
    <w:p w14:paraId="61B68EBA" w14:textId="77777777" w:rsidR="00633F0B" w:rsidRDefault="00633F0B" w:rsidP="00633F0B">
      <w:pPr>
        <w:spacing w:after="0" w:line="240" w:lineRule="auto"/>
        <w:ind w:left="720"/>
        <w:jc w:val="both"/>
        <w:rPr>
          <w:rFonts w:ascii="Arial" w:hAnsi="Arial" w:cs="Arial"/>
          <w:sz w:val="24"/>
          <w:szCs w:val="24"/>
        </w:rPr>
      </w:pPr>
    </w:p>
    <w:p w14:paraId="0A9E0B97" w14:textId="338E601F" w:rsidR="00C92902" w:rsidRPr="00C92902" w:rsidRDefault="00C92902" w:rsidP="005841B7">
      <w:pPr>
        <w:numPr>
          <w:ilvl w:val="0"/>
          <w:numId w:val="18"/>
        </w:numPr>
        <w:spacing w:after="0" w:line="240" w:lineRule="auto"/>
        <w:jc w:val="both"/>
        <w:rPr>
          <w:rFonts w:ascii="Arial" w:hAnsi="Arial" w:cs="Arial"/>
          <w:sz w:val="24"/>
          <w:szCs w:val="24"/>
        </w:rPr>
      </w:pPr>
      <w:r w:rsidRPr="00C92902">
        <w:rPr>
          <w:rFonts w:ascii="Arial" w:hAnsi="Arial" w:cs="Arial"/>
          <w:sz w:val="24"/>
          <w:szCs w:val="24"/>
        </w:rPr>
        <w:t>Applicant will be required to pay a Park Impact Fee for the proposed residential units prior to issuance of building permit in accordance with ULDR Sec. 47-38A, Park Impact Fees. </w:t>
      </w:r>
    </w:p>
    <w:p w14:paraId="6C2F56DA" w14:textId="77777777" w:rsidR="00C92902" w:rsidRPr="00C92902" w:rsidRDefault="00C92902" w:rsidP="005841B7">
      <w:pPr>
        <w:spacing w:after="0" w:line="240" w:lineRule="auto"/>
        <w:jc w:val="both"/>
        <w:rPr>
          <w:rFonts w:ascii="Arial" w:hAnsi="Arial" w:cs="Arial"/>
          <w:sz w:val="24"/>
          <w:szCs w:val="24"/>
        </w:rPr>
      </w:pPr>
      <w:r w:rsidRPr="00C92902">
        <w:rPr>
          <w:rFonts w:ascii="Arial" w:hAnsi="Arial" w:cs="Arial"/>
          <w:sz w:val="24"/>
          <w:szCs w:val="24"/>
        </w:rPr>
        <w:t> </w:t>
      </w:r>
    </w:p>
    <w:p w14:paraId="6F23CF78" w14:textId="77777777" w:rsidR="00C92902" w:rsidRPr="00C92902" w:rsidRDefault="00C92902" w:rsidP="005841B7">
      <w:pPr>
        <w:numPr>
          <w:ilvl w:val="0"/>
          <w:numId w:val="19"/>
        </w:numPr>
        <w:spacing w:after="0" w:line="240" w:lineRule="auto"/>
        <w:jc w:val="both"/>
        <w:rPr>
          <w:rFonts w:ascii="Arial" w:hAnsi="Arial" w:cs="Arial"/>
          <w:sz w:val="24"/>
          <w:szCs w:val="24"/>
        </w:rPr>
      </w:pPr>
      <w:r w:rsidRPr="00C92902">
        <w:rPr>
          <w:rFonts w:ascii="Arial" w:hAnsi="Arial" w:cs="Arial"/>
          <w:sz w:val="24"/>
          <w:szCs w:val="24"/>
        </w:rPr>
        <w:t>Prior to final DRC, applicant shall provide a School Capacity Availability Determination (SCAD) letter that confirms that school capacity is available, or if capacity is not available, that mitigation requirements have been satisfied. </w:t>
      </w:r>
    </w:p>
    <w:p w14:paraId="24A847D5" w14:textId="77777777" w:rsidR="00FC6355" w:rsidRDefault="00FC6355" w:rsidP="00706BB9">
      <w:pPr>
        <w:spacing w:after="0"/>
        <w:jc w:val="both"/>
        <w:rPr>
          <w:rFonts w:ascii="Arial" w:hAnsi="Arial" w:cs="Arial"/>
          <w:b/>
          <w:bCs/>
          <w:sz w:val="24"/>
          <w:szCs w:val="24"/>
          <w:u w:val="single"/>
        </w:rPr>
      </w:pPr>
    </w:p>
    <w:p w14:paraId="36AB6FB7" w14:textId="2B1A2272" w:rsidR="00422206" w:rsidRDefault="00DE6FAD" w:rsidP="00706BB9">
      <w:pPr>
        <w:spacing w:after="0"/>
        <w:jc w:val="both"/>
        <w:rPr>
          <w:rFonts w:ascii="Arial" w:hAnsi="Arial" w:cs="Arial"/>
          <w:b/>
          <w:bCs/>
          <w:sz w:val="24"/>
          <w:szCs w:val="24"/>
          <w:u w:val="single"/>
        </w:rPr>
      </w:pPr>
      <w:r w:rsidRPr="008E3F9A">
        <w:rPr>
          <w:rFonts w:ascii="Arial" w:hAnsi="Arial" w:cs="Arial"/>
          <w:b/>
          <w:bCs/>
          <w:sz w:val="24"/>
          <w:szCs w:val="24"/>
          <w:u w:val="single"/>
        </w:rPr>
        <w:t xml:space="preserve">Resource Impact </w:t>
      </w:r>
    </w:p>
    <w:p w14:paraId="183CDC8C" w14:textId="46CF0594" w:rsidR="00227250" w:rsidRDefault="00227250" w:rsidP="00227250">
      <w:pPr>
        <w:spacing w:after="0"/>
        <w:jc w:val="both"/>
        <w:rPr>
          <w:rFonts w:ascii="Arial" w:hAnsi="Arial" w:cs="Arial"/>
          <w:b/>
          <w:bCs/>
          <w:sz w:val="24"/>
          <w:szCs w:val="24"/>
          <w:u w:val="single"/>
        </w:rPr>
      </w:pPr>
      <w:r>
        <w:rPr>
          <w:rFonts w:ascii="Arial" w:hAnsi="Arial" w:cs="Arial"/>
          <w:bCs/>
          <w:sz w:val="24"/>
          <w:szCs w:val="24"/>
        </w:rPr>
        <w:t>T</w:t>
      </w:r>
      <w:r w:rsidR="00DE6FAD">
        <w:rPr>
          <w:rFonts w:ascii="Arial" w:hAnsi="Arial" w:cs="Arial"/>
          <w:bCs/>
          <w:sz w:val="24"/>
          <w:szCs w:val="24"/>
        </w:rPr>
        <w:t>here is no fiscal impact associated with this action</w:t>
      </w:r>
      <w:r w:rsidR="001D7A63">
        <w:rPr>
          <w:rFonts w:ascii="Arial" w:hAnsi="Arial" w:cs="Arial"/>
          <w:bCs/>
          <w:sz w:val="24"/>
          <w:szCs w:val="24"/>
        </w:rPr>
        <w:t>.</w:t>
      </w:r>
    </w:p>
    <w:p w14:paraId="7790DB55" w14:textId="77777777" w:rsidR="00227250" w:rsidRDefault="00227250" w:rsidP="00AF19AE">
      <w:pPr>
        <w:spacing w:after="0" w:line="240" w:lineRule="auto"/>
        <w:jc w:val="both"/>
        <w:rPr>
          <w:rFonts w:ascii="Arial" w:hAnsi="Arial" w:cs="Arial"/>
          <w:b/>
          <w:bCs/>
          <w:sz w:val="24"/>
          <w:szCs w:val="24"/>
          <w:u w:val="single"/>
        </w:rPr>
      </w:pPr>
    </w:p>
    <w:p w14:paraId="03442828" w14:textId="42595DB6" w:rsidR="00382D8A" w:rsidRDefault="00382D8A" w:rsidP="00AF19AE">
      <w:pPr>
        <w:spacing w:after="0" w:line="240" w:lineRule="auto"/>
        <w:jc w:val="both"/>
        <w:rPr>
          <w:rFonts w:ascii="Arial" w:hAnsi="Arial" w:cs="Arial"/>
          <w:b/>
          <w:bCs/>
          <w:sz w:val="24"/>
          <w:szCs w:val="24"/>
          <w:u w:val="single"/>
        </w:rPr>
      </w:pPr>
      <w:r w:rsidRPr="00DE6E3A">
        <w:rPr>
          <w:rFonts w:ascii="Arial" w:hAnsi="Arial" w:cs="Arial"/>
          <w:b/>
          <w:bCs/>
          <w:sz w:val="24"/>
          <w:szCs w:val="24"/>
          <w:u w:val="single"/>
        </w:rPr>
        <w:t>Strategic Connections</w:t>
      </w:r>
    </w:p>
    <w:p w14:paraId="47653BB2" w14:textId="2D042353" w:rsidR="008172EE" w:rsidRDefault="00467B74" w:rsidP="00AF19AE">
      <w:pPr>
        <w:spacing w:after="0" w:line="240" w:lineRule="auto"/>
        <w:jc w:val="both"/>
        <w:rPr>
          <w:rFonts w:ascii="Arial" w:hAnsi="Arial" w:cs="Arial"/>
          <w:sz w:val="24"/>
          <w:szCs w:val="24"/>
        </w:rPr>
      </w:pPr>
      <w:r>
        <w:rPr>
          <w:rFonts w:ascii="Arial" w:hAnsi="Arial" w:cs="Arial"/>
          <w:sz w:val="24"/>
          <w:szCs w:val="24"/>
        </w:rPr>
        <w:t xml:space="preserve">This item supports the </w:t>
      </w:r>
      <w:r w:rsidRPr="00F33FCA">
        <w:rPr>
          <w:rFonts w:ascii="Arial" w:hAnsi="Arial" w:cs="Arial"/>
          <w:i/>
          <w:iCs/>
          <w:sz w:val="24"/>
          <w:szCs w:val="24"/>
        </w:rPr>
        <w:t>Press Play Fort Lauderdale 2029</w:t>
      </w:r>
      <w:r>
        <w:rPr>
          <w:rFonts w:ascii="Arial" w:hAnsi="Arial" w:cs="Arial"/>
          <w:sz w:val="24"/>
          <w:szCs w:val="24"/>
        </w:rPr>
        <w:t xml:space="preserve"> </w:t>
      </w:r>
      <w:r w:rsidR="00F33FCA">
        <w:rPr>
          <w:rFonts w:ascii="Arial" w:hAnsi="Arial" w:cs="Arial"/>
          <w:sz w:val="24"/>
          <w:szCs w:val="24"/>
        </w:rPr>
        <w:t>Strategic</w:t>
      </w:r>
      <w:r>
        <w:rPr>
          <w:rFonts w:ascii="Arial" w:hAnsi="Arial" w:cs="Arial"/>
          <w:sz w:val="24"/>
          <w:szCs w:val="24"/>
        </w:rPr>
        <w:t xml:space="preserve"> Plan, specifically advancing</w:t>
      </w:r>
      <w:r w:rsidR="00012AFE">
        <w:rPr>
          <w:rFonts w:ascii="Arial" w:hAnsi="Arial" w:cs="Arial"/>
          <w:sz w:val="24"/>
          <w:szCs w:val="24"/>
        </w:rPr>
        <w:t>:</w:t>
      </w:r>
    </w:p>
    <w:p w14:paraId="73FDAB3F" w14:textId="06108939" w:rsidR="00012AFE" w:rsidRPr="00F33FCA" w:rsidRDefault="00012AFE" w:rsidP="00F33FCA">
      <w:pPr>
        <w:pStyle w:val="ListParagraph"/>
        <w:numPr>
          <w:ilvl w:val="0"/>
          <w:numId w:val="23"/>
        </w:numPr>
        <w:spacing w:after="0" w:line="240" w:lineRule="auto"/>
        <w:jc w:val="both"/>
        <w:rPr>
          <w:rFonts w:ascii="Arial" w:hAnsi="Arial" w:cs="Arial"/>
          <w:sz w:val="24"/>
          <w:szCs w:val="24"/>
        </w:rPr>
      </w:pPr>
      <w:r w:rsidRPr="00F33FCA">
        <w:rPr>
          <w:rFonts w:ascii="Arial" w:hAnsi="Arial" w:cs="Arial"/>
          <w:sz w:val="24"/>
          <w:szCs w:val="24"/>
        </w:rPr>
        <w:t>The Housing Focus Area, Goal 2: Enable housing options for all income</w:t>
      </w:r>
      <w:r w:rsidR="009F61D2" w:rsidRPr="00F33FCA">
        <w:rPr>
          <w:rFonts w:ascii="Arial" w:hAnsi="Arial" w:cs="Arial"/>
          <w:sz w:val="24"/>
          <w:szCs w:val="24"/>
        </w:rPr>
        <w:t xml:space="preserve"> levels.</w:t>
      </w:r>
    </w:p>
    <w:p w14:paraId="4864F0A4" w14:textId="77777777" w:rsidR="009F61D2" w:rsidRDefault="009F61D2" w:rsidP="00AF19AE">
      <w:pPr>
        <w:spacing w:after="0" w:line="240" w:lineRule="auto"/>
        <w:jc w:val="both"/>
        <w:rPr>
          <w:rFonts w:ascii="Arial" w:hAnsi="Arial" w:cs="Arial"/>
          <w:sz w:val="24"/>
          <w:szCs w:val="24"/>
        </w:rPr>
      </w:pPr>
    </w:p>
    <w:p w14:paraId="74AF8862" w14:textId="0909288D" w:rsidR="009F61D2" w:rsidRDefault="009F61D2" w:rsidP="00AF19AE">
      <w:pPr>
        <w:spacing w:after="0" w:line="240" w:lineRule="auto"/>
        <w:jc w:val="both"/>
        <w:rPr>
          <w:rFonts w:ascii="Arial" w:hAnsi="Arial" w:cs="Arial"/>
          <w:sz w:val="24"/>
          <w:szCs w:val="24"/>
        </w:rPr>
      </w:pPr>
      <w:r>
        <w:rPr>
          <w:rFonts w:ascii="Arial" w:hAnsi="Arial" w:cs="Arial"/>
          <w:sz w:val="24"/>
          <w:szCs w:val="24"/>
        </w:rPr>
        <w:t xml:space="preserve">This item advances the </w:t>
      </w:r>
      <w:r w:rsidRPr="00F33FCA">
        <w:rPr>
          <w:rFonts w:ascii="Arial" w:hAnsi="Arial" w:cs="Arial"/>
          <w:i/>
          <w:iCs/>
          <w:sz w:val="24"/>
          <w:szCs w:val="24"/>
        </w:rPr>
        <w:t xml:space="preserve">Fast Forward Fort Lauderdale </w:t>
      </w:r>
      <w:r w:rsidR="00F33FCA" w:rsidRPr="00F33FCA">
        <w:rPr>
          <w:rFonts w:ascii="Arial" w:hAnsi="Arial" w:cs="Arial"/>
          <w:i/>
          <w:iCs/>
          <w:sz w:val="24"/>
          <w:szCs w:val="24"/>
        </w:rPr>
        <w:t>2035</w:t>
      </w:r>
      <w:r w:rsidR="00F33FCA">
        <w:rPr>
          <w:rFonts w:ascii="Arial" w:hAnsi="Arial" w:cs="Arial"/>
          <w:sz w:val="24"/>
          <w:szCs w:val="24"/>
        </w:rPr>
        <w:t xml:space="preserve"> Vision Plan: We Are Community</w:t>
      </w:r>
    </w:p>
    <w:p w14:paraId="04029759" w14:textId="77777777" w:rsidR="00F33FCA" w:rsidRDefault="00F33FCA" w:rsidP="00AF19AE">
      <w:pPr>
        <w:spacing w:after="0" w:line="240" w:lineRule="auto"/>
        <w:jc w:val="both"/>
        <w:rPr>
          <w:rFonts w:ascii="Arial" w:hAnsi="Arial" w:cs="Arial"/>
          <w:sz w:val="24"/>
          <w:szCs w:val="24"/>
        </w:rPr>
      </w:pPr>
    </w:p>
    <w:p w14:paraId="0ADF1AD7" w14:textId="5328FABB" w:rsidR="00F33FCA" w:rsidRDefault="00F33FCA" w:rsidP="00AF19AE">
      <w:pPr>
        <w:spacing w:after="0" w:line="240" w:lineRule="auto"/>
        <w:jc w:val="both"/>
        <w:rPr>
          <w:rFonts w:ascii="Arial" w:hAnsi="Arial" w:cs="Arial"/>
          <w:sz w:val="24"/>
          <w:szCs w:val="24"/>
        </w:rPr>
      </w:pPr>
      <w:r>
        <w:rPr>
          <w:rFonts w:ascii="Arial" w:hAnsi="Arial" w:cs="Arial"/>
          <w:sz w:val="24"/>
          <w:szCs w:val="24"/>
        </w:rPr>
        <w:t xml:space="preserve">This item supports the </w:t>
      </w:r>
      <w:r w:rsidRPr="004A68BA">
        <w:rPr>
          <w:rFonts w:ascii="Arial" w:hAnsi="Arial" w:cs="Arial"/>
          <w:i/>
          <w:iCs/>
          <w:sz w:val="24"/>
          <w:szCs w:val="24"/>
        </w:rPr>
        <w:t>Advance Fort Lauderdale</w:t>
      </w:r>
      <w:r w:rsidR="001B5F0D" w:rsidRPr="004A68BA">
        <w:rPr>
          <w:rFonts w:ascii="Arial" w:hAnsi="Arial" w:cs="Arial"/>
          <w:i/>
          <w:iCs/>
          <w:sz w:val="24"/>
          <w:szCs w:val="24"/>
        </w:rPr>
        <w:t xml:space="preserve"> 2040 Comprehensive Plan</w:t>
      </w:r>
      <w:r w:rsidR="001B5F0D">
        <w:rPr>
          <w:rFonts w:ascii="Arial" w:hAnsi="Arial" w:cs="Arial"/>
          <w:sz w:val="24"/>
          <w:szCs w:val="24"/>
        </w:rPr>
        <w:t xml:space="preserve"> specifically advancing</w:t>
      </w:r>
      <w:r w:rsidR="00737C3F">
        <w:rPr>
          <w:rFonts w:ascii="Arial" w:hAnsi="Arial" w:cs="Arial"/>
          <w:sz w:val="24"/>
          <w:szCs w:val="24"/>
        </w:rPr>
        <w:t>:</w:t>
      </w:r>
    </w:p>
    <w:p w14:paraId="1EF806C8" w14:textId="12336DD7" w:rsidR="00737C3F" w:rsidRPr="004A68BA" w:rsidRDefault="00737C3F" w:rsidP="004A68BA">
      <w:pPr>
        <w:pStyle w:val="ListParagraph"/>
        <w:numPr>
          <w:ilvl w:val="0"/>
          <w:numId w:val="23"/>
        </w:numPr>
        <w:spacing w:after="0" w:line="240" w:lineRule="auto"/>
        <w:jc w:val="both"/>
        <w:rPr>
          <w:rFonts w:ascii="Arial" w:hAnsi="Arial" w:cs="Arial"/>
          <w:sz w:val="24"/>
          <w:szCs w:val="24"/>
        </w:rPr>
      </w:pPr>
      <w:r w:rsidRPr="004A68BA">
        <w:rPr>
          <w:rFonts w:ascii="Arial" w:hAnsi="Arial" w:cs="Arial"/>
          <w:sz w:val="24"/>
          <w:szCs w:val="24"/>
        </w:rPr>
        <w:t xml:space="preserve">The Neighborhood Enhancement Area </w:t>
      </w:r>
    </w:p>
    <w:p w14:paraId="3CAB5D38" w14:textId="21C4E9FE" w:rsidR="00737C3F" w:rsidRPr="004A68BA" w:rsidRDefault="00737C3F" w:rsidP="004A68BA">
      <w:pPr>
        <w:pStyle w:val="ListParagraph"/>
        <w:numPr>
          <w:ilvl w:val="0"/>
          <w:numId w:val="23"/>
        </w:numPr>
        <w:spacing w:after="0" w:line="240" w:lineRule="auto"/>
        <w:jc w:val="both"/>
        <w:rPr>
          <w:rFonts w:ascii="Arial" w:hAnsi="Arial" w:cs="Arial"/>
          <w:sz w:val="24"/>
          <w:szCs w:val="24"/>
        </w:rPr>
      </w:pPr>
      <w:r w:rsidRPr="004A68BA">
        <w:rPr>
          <w:rFonts w:ascii="Arial" w:hAnsi="Arial" w:cs="Arial"/>
          <w:sz w:val="24"/>
          <w:szCs w:val="24"/>
        </w:rPr>
        <w:t xml:space="preserve">The </w:t>
      </w:r>
      <w:r w:rsidR="00BC372B" w:rsidRPr="004A68BA">
        <w:rPr>
          <w:rFonts w:ascii="Arial" w:hAnsi="Arial" w:cs="Arial"/>
          <w:sz w:val="24"/>
          <w:szCs w:val="24"/>
        </w:rPr>
        <w:t>Urban Design Element</w:t>
      </w:r>
    </w:p>
    <w:p w14:paraId="3FFE617E" w14:textId="512F6EAA" w:rsidR="00BC372B" w:rsidRPr="004A68BA" w:rsidRDefault="00BC372B" w:rsidP="004A68BA">
      <w:pPr>
        <w:pStyle w:val="ListParagraph"/>
        <w:numPr>
          <w:ilvl w:val="0"/>
          <w:numId w:val="23"/>
        </w:numPr>
        <w:spacing w:after="0" w:line="240" w:lineRule="auto"/>
        <w:jc w:val="both"/>
        <w:rPr>
          <w:rFonts w:ascii="Arial" w:hAnsi="Arial" w:cs="Arial"/>
          <w:sz w:val="24"/>
          <w:szCs w:val="24"/>
        </w:rPr>
      </w:pPr>
      <w:r w:rsidRPr="004A68BA">
        <w:rPr>
          <w:rFonts w:ascii="Arial" w:hAnsi="Arial" w:cs="Arial"/>
          <w:sz w:val="24"/>
          <w:szCs w:val="24"/>
        </w:rPr>
        <w:t xml:space="preserve">Goal 1: The City of Fort Lauderdale shall promote </w:t>
      </w:r>
      <w:r w:rsidR="009C3DCC" w:rsidRPr="004A68BA">
        <w:rPr>
          <w:rFonts w:ascii="Arial" w:hAnsi="Arial" w:cs="Arial"/>
          <w:sz w:val="24"/>
          <w:szCs w:val="24"/>
        </w:rPr>
        <w:t xml:space="preserve">high-quality </w:t>
      </w:r>
      <w:r w:rsidR="00832582" w:rsidRPr="004A68BA">
        <w:rPr>
          <w:rFonts w:ascii="Arial" w:hAnsi="Arial" w:cs="Arial"/>
          <w:sz w:val="24"/>
          <w:szCs w:val="24"/>
        </w:rPr>
        <w:t xml:space="preserve">and sustainable building design elements which complement the public realm. </w:t>
      </w:r>
    </w:p>
    <w:p w14:paraId="7161EBDF" w14:textId="674CAB0C" w:rsidR="00D27E95" w:rsidRDefault="00D27E95" w:rsidP="00AF19AE">
      <w:pPr>
        <w:spacing w:after="0" w:line="240" w:lineRule="auto"/>
        <w:jc w:val="both"/>
        <w:rPr>
          <w:rFonts w:ascii="Arial" w:hAnsi="Arial" w:cs="Arial"/>
          <w:b/>
          <w:bCs/>
          <w:sz w:val="24"/>
          <w:szCs w:val="24"/>
          <w:u w:val="single"/>
        </w:rPr>
      </w:pPr>
    </w:p>
    <w:p w14:paraId="46B24D59" w14:textId="4CF5E844" w:rsidR="00E52CAD" w:rsidRPr="000151DD" w:rsidRDefault="00E52CAD" w:rsidP="00AF19AE">
      <w:pPr>
        <w:spacing w:after="0" w:line="240" w:lineRule="auto"/>
        <w:jc w:val="both"/>
        <w:rPr>
          <w:rFonts w:ascii="Arial" w:hAnsi="Arial" w:cs="Arial"/>
          <w:bCs/>
          <w:sz w:val="24"/>
          <w:szCs w:val="24"/>
        </w:rPr>
      </w:pPr>
      <w:r w:rsidRPr="002E26B5">
        <w:rPr>
          <w:rFonts w:ascii="Arial" w:hAnsi="Arial" w:cs="Arial"/>
          <w:b/>
          <w:bCs/>
          <w:sz w:val="24"/>
          <w:szCs w:val="24"/>
          <w:u w:val="single"/>
        </w:rPr>
        <w:t>Attac</w:t>
      </w:r>
      <w:r w:rsidRPr="000151DD">
        <w:rPr>
          <w:rFonts w:ascii="Arial" w:hAnsi="Arial" w:cs="Arial"/>
          <w:b/>
          <w:bCs/>
          <w:sz w:val="24"/>
          <w:szCs w:val="24"/>
          <w:u w:val="single"/>
        </w:rPr>
        <w:t>hment</w:t>
      </w:r>
      <w:r w:rsidR="004A68BA">
        <w:rPr>
          <w:rFonts w:ascii="Arial" w:hAnsi="Arial" w:cs="Arial"/>
          <w:b/>
          <w:bCs/>
          <w:sz w:val="24"/>
          <w:szCs w:val="24"/>
          <w:u w:val="single"/>
        </w:rPr>
        <w:t>s</w:t>
      </w:r>
      <w:r w:rsidRPr="000151DD">
        <w:rPr>
          <w:rFonts w:ascii="Arial" w:hAnsi="Arial" w:cs="Arial"/>
          <w:b/>
          <w:bCs/>
          <w:sz w:val="24"/>
          <w:szCs w:val="24"/>
        </w:rPr>
        <w:t xml:space="preserve"> </w:t>
      </w:r>
    </w:p>
    <w:p w14:paraId="53A79486" w14:textId="653EE6BB" w:rsidR="004972BE" w:rsidRPr="000151DD" w:rsidRDefault="004972BE" w:rsidP="004972BE">
      <w:pPr>
        <w:spacing w:after="0" w:line="240" w:lineRule="auto"/>
        <w:jc w:val="both"/>
        <w:rPr>
          <w:rFonts w:ascii="Arial" w:hAnsi="Arial" w:cs="Arial"/>
          <w:bCs/>
          <w:sz w:val="24"/>
          <w:szCs w:val="24"/>
        </w:rPr>
      </w:pPr>
      <w:r w:rsidRPr="000151DD">
        <w:rPr>
          <w:rFonts w:ascii="Arial" w:hAnsi="Arial" w:cs="Arial"/>
          <w:bCs/>
          <w:sz w:val="24"/>
          <w:szCs w:val="24"/>
        </w:rPr>
        <w:t xml:space="preserve">Exhibit 1 </w:t>
      </w:r>
      <w:r w:rsidR="00E24F5A">
        <w:rPr>
          <w:rFonts w:ascii="Arial" w:hAnsi="Arial" w:cs="Arial"/>
          <w:bCs/>
          <w:sz w:val="24"/>
          <w:szCs w:val="24"/>
        </w:rPr>
        <w:t xml:space="preserve">- </w:t>
      </w:r>
      <w:r w:rsidRPr="000151DD">
        <w:rPr>
          <w:rFonts w:ascii="Arial" w:hAnsi="Arial" w:cs="Arial"/>
          <w:bCs/>
          <w:sz w:val="24"/>
          <w:szCs w:val="24"/>
        </w:rPr>
        <w:t>Location Map </w:t>
      </w:r>
    </w:p>
    <w:p w14:paraId="5EF9CD6B" w14:textId="0D4B0902" w:rsidR="004972BE" w:rsidRDefault="004972BE" w:rsidP="004972BE">
      <w:pPr>
        <w:spacing w:after="0" w:line="240" w:lineRule="auto"/>
        <w:jc w:val="both"/>
        <w:rPr>
          <w:rFonts w:ascii="Arial" w:hAnsi="Arial" w:cs="Arial"/>
          <w:bCs/>
          <w:sz w:val="24"/>
          <w:szCs w:val="24"/>
        </w:rPr>
      </w:pPr>
      <w:r w:rsidRPr="000151DD">
        <w:rPr>
          <w:rFonts w:ascii="Arial" w:hAnsi="Arial" w:cs="Arial"/>
          <w:bCs/>
          <w:sz w:val="24"/>
          <w:szCs w:val="24"/>
        </w:rPr>
        <w:t xml:space="preserve">Exhibit 2 </w:t>
      </w:r>
      <w:r w:rsidR="00E51032">
        <w:rPr>
          <w:rFonts w:ascii="Arial" w:hAnsi="Arial" w:cs="Arial"/>
          <w:bCs/>
          <w:sz w:val="24"/>
          <w:szCs w:val="24"/>
        </w:rPr>
        <w:t xml:space="preserve">- </w:t>
      </w:r>
      <w:r w:rsidRPr="000151DD">
        <w:rPr>
          <w:rFonts w:ascii="Arial" w:hAnsi="Arial" w:cs="Arial"/>
          <w:bCs/>
          <w:sz w:val="24"/>
          <w:szCs w:val="24"/>
        </w:rPr>
        <w:t>Application</w:t>
      </w:r>
      <w:r w:rsidR="00AF4A8F">
        <w:rPr>
          <w:rFonts w:ascii="Arial" w:hAnsi="Arial" w:cs="Arial"/>
          <w:bCs/>
          <w:sz w:val="24"/>
          <w:szCs w:val="24"/>
        </w:rPr>
        <w:t xml:space="preserve"> and </w:t>
      </w:r>
      <w:r w:rsidR="00E51032">
        <w:rPr>
          <w:rFonts w:ascii="Arial" w:hAnsi="Arial" w:cs="Arial"/>
          <w:bCs/>
          <w:sz w:val="24"/>
          <w:szCs w:val="24"/>
        </w:rPr>
        <w:t>Project Narratives</w:t>
      </w:r>
      <w:r w:rsidR="00065E6B" w:rsidRPr="000151DD">
        <w:rPr>
          <w:rFonts w:ascii="Arial" w:hAnsi="Arial" w:cs="Arial"/>
          <w:bCs/>
          <w:sz w:val="24"/>
          <w:szCs w:val="24"/>
        </w:rPr>
        <w:t xml:space="preserve"> </w:t>
      </w:r>
    </w:p>
    <w:p w14:paraId="462C4EBE" w14:textId="660FDDBF" w:rsidR="00E24F5A" w:rsidRDefault="004972BE" w:rsidP="004972BE">
      <w:pPr>
        <w:spacing w:after="0" w:line="240" w:lineRule="auto"/>
        <w:jc w:val="both"/>
        <w:rPr>
          <w:rFonts w:ascii="Arial" w:hAnsi="Arial" w:cs="Arial"/>
          <w:bCs/>
          <w:sz w:val="24"/>
          <w:szCs w:val="24"/>
        </w:rPr>
      </w:pPr>
      <w:r w:rsidRPr="000151DD">
        <w:rPr>
          <w:rFonts w:ascii="Arial" w:hAnsi="Arial" w:cs="Arial"/>
          <w:bCs/>
          <w:sz w:val="24"/>
          <w:szCs w:val="24"/>
        </w:rPr>
        <w:t xml:space="preserve">Exhibit </w:t>
      </w:r>
      <w:r w:rsidR="00EE72FD">
        <w:rPr>
          <w:rFonts w:ascii="Arial" w:hAnsi="Arial" w:cs="Arial"/>
          <w:bCs/>
          <w:sz w:val="24"/>
          <w:szCs w:val="24"/>
        </w:rPr>
        <w:t>3</w:t>
      </w:r>
      <w:r w:rsidRPr="000151DD">
        <w:rPr>
          <w:rFonts w:ascii="Arial" w:hAnsi="Arial" w:cs="Arial"/>
          <w:bCs/>
          <w:sz w:val="24"/>
          <w:szCs w:val="24"/>
        </w:rPr>
        <w:t xml:space="preserve"> </w:t>
      </w:r>
      <w:r w:rsidR="00E24F5A">
        <w:rPr>
          <w:rFonts w:ascii="Arial" w:hAnsi="Arial" w:cs="Arial"/>
          <w:bCs/>
          <w:sz w:val="24"/>
          <w:szCs w:val="24"/>
        </w:rPr>
        <w:t>-</w:t>
      </w:r>
      <w:r w:rsidRPr="000151DD">
        <w:rPr>
          <w:rFonts w:ascii="Arial" w:hAnsi="Arial" w:cs="Arial"/>
          <w:bCs/>
          <w:sz w:val="24"/>
          <w:szCs w:val="24"/>
        </w:rPr>
        <w:t xml:space="preserve"> </w:t>
      </w:r>
      <w:r w:rsidR="00E24F5A">
        <w:rPr>
          <w:rFonts w:ascii="Arial" w:hAnsi="Arial" w:cs="Arial"/>
          <w:bCs/>
          <w:sz w:val="24"/>
          <w:szCs w:val="24"/>
        </w:rPr>
        <w:t>Site Plan Set</w:t>
      </w:r>
    </w:p>
    <w:p w14:paraId="2FA7670D" w14:textId="773A1D6B" w:rsidR="004972BE" w:rsidRPr="000151DD" w:rsidRDefault="00E24F5A" w:rsidP="004972BE">
      <w:pPr>
        <w:spacing w:after="0" w:line="240" w:lineRule="auto"/>
        <w:jc w:val="both"/>
        <w:rPr>
          <w:rFonts w:ascii="Arial" w:hAnsi="Arial" w:cs="Arial"/>
          <w:bCs/>
          <w:sz w:val="24"/>
          <w:szCs w:val="24"/>
        </w:rPr>
      </w:pPr>
      <w:r>
        <w:rPr>
          <w:rFonts w:ascii="Arial" w:hAnsi="Arial" w:cs="Arial"/>
          <w:sz w:val="24"/>
          <w:szCs w:val="24"/>
        </w:rPr>
        <w:t xml:space="preserve">Exhibit 4 </w:t>
      </w:r>
      <w:r w:rsidR="00E20894">
        <w:rPr>
          <w:rFonts w:ascii="Arial" w:hAnsi="Arial" w:cs="Arial"/>
          <w:sz w:val="24"/>
          <w:szCs w:val="24"/>
        </w:rPr>
        <w:t xml:space="preserve">- </w:t>
      </w:r>
      <w:r w:rsidR="00D92F93">
        <w:rPr>
          <w:rFonts w:ascii="Arial" w:hAnsi="Arial" w:cs="Arial"/>
          <w:sz w:val="24"/>
          <w:szCs w:val="24"/>
        </w:rPr>
        <w:t>October</w:t>
      </w:r>
      <w:r w:rsidR="00E948D8">
        <w:rPr>
          <w:rFonts w:ascii="Arial" w:hAnsi="Arial" w:cs="Arial"/>
          <w:sz w:val="24"/>
          <w:szCs w:val="24"/>
        </w:rPr>
        <w:t xml:space="preserve"> 14</w:t>
      </w:r>
      <w:r w:rsidR="001745A4" w:rsidRPr="000151DD">
        <w:rPr>
          <w:rFonts w:ascii="Arial" w:hAnsi="Arial" w:cs="Arial"/>
          <w:sz w:val="24"/>
          <w:szCs w:val="24"/>
        </w:rPr>
        <w:t>, 2025, DRC Comment Report</w:t>
      </w:r>
      <w:r w:rsidR="004972BE" w:rsidRPr="000151DD">
        <w:rPr>
          <w:rFonts w:ascii="Arial" w:hAnsi="Arial" w:cs="Arial"/>
          <w:bCs/>
          <w:sz w:val="24"/>
          <w:szCs w:val="24"/>
        </w:rPr>
        <w:t> </w:t>
      </w:r>
      <w:r w:rsidR="007C0CF1" w:rsidRPr="000151DD">
        <w:rPr>
          <w:rFonts w:ascii="Arial" w:hAnsi="Arial" w:cs="Arial"/>
          <w:bCs/>
          <w:sz w:val="24"/>
          <w:szCs w:val="24"/>
        </w:rPr>
        <w:t>with Applicant’s Responses</w:t>
      </w:r>
    </w:p>
    <w:p w14:paraId="63BA2831" w14:textId="46AEE31F" w:rsidR="00065E6B" w:rsidRPr="000151DD" w:rsidRDefault="00065E6B" w:rsidP="004972BE">
      <w:pPr>
        <w:spacing w:after="0" w:line="240" w:lineRule="auto"/>
        <w:jc w:val="both"/>
        <w:rPr>
          <w:rFonts w:ascii="Arial" w:hAnsi="Arial" w:cs="Arial"/>
          <w:bCs/>
          <w:sz w:val="24"/>
          <w:szCs w:val="24"/>
        </w:rPr>
      </w:pPr>
      <w:r w:rsidRPr="000151DD">
        <w:rPr>
          <w:rFonts w:ascii="Arial" w:hAnsi="Arial" w:cs="Arial"/>
          <w:bCs/>
          <w:sz w:val="24"/>
          <w:szCs w:val="24"/>
        </w:rPr>
        <w:t xml:space="preserve">Exhibit </w:t>
      </w:r>
      <w:r w:rsidR="00E24F5A">
        <w:rPr>
          <w:rFonts w:ascii="Arial" w:hAnsi="Arial" w:cs="Arial"/>
          <w:bCs/>
          <w:sz w:val="24"/>
          <w:szCs w:val="24"/>
        </w:rPr>
        <w:t xml:space="preserve">5 - </w:t>
      </w:r>
      <w:r w:rsidR="00215D35">
        <w:rPr>
          <w:rFonts w:ascii="Arial" w:hAnsi="Arial" w:cs="Arial"/>
          <w:sz w:val="24"/>
          <w:szCs w:val="24"/>
        </w:rPr>
        <w:t>September 24, 2025</w:t>
      </w:r>
      <w:r w:rsidR="00FC7C05">
        <w:rPr>
          <w:rFonts w:ascii="Arial" w:hAnsi="Arial" w:cs="Arial"/>
          <w:sz w:val="24"/>
          <w:szCs w:val="24"/>
        </w:rPr>
        <w:t xml:space="preserve">, </w:t>
      </w:r>
      <w:r w:rsidRPr="000151DD">
        <w:rPr>
          <w:rFonts w:ascii="Arial" w:hAnsi="Arial" w:cs="Arial"/>
          <w:bCs/>
          <w:sz w:val="24"/>
          <w:szCs w:val="24"/>
        </w:rPr>
        <w:t>Water and Sewer Capacity Letter</w:t>
      </w:r>
    </w:p>
    <w:p w14:paraId="2B1ED80B" w14:textId="21C46C57" w:rsidR="00BA3D13" w:rsidRPr="000151DD" w:rsidRDefault="00BA3D13" w:rsidP="004972BE">
      <w:pPr>
        <w:spacing w:after="0" w:line="240" w:lineRule="auto"/>
        <w:jc w:val="both"/>
        <w:rPr>
          <w:rFonts w:ascii="Arial" w:hAnsi="Arial" w:cs="Arial"/>
          <w:bCs/>
          <w:sz w:val="24"/>
          <w:szCs w:val="24"/>
        </w:rPr>
      </w:pPr>
      <w:r w:rsidRPr="000151DD">
        <w:rPr>
          <w:rFonts w:ascii="Arial" w:hAnsi="Arial" w:cs="Arial"/>
          <w:bCs/>
          <w:sz w:val="24"/>
          <w:szCs w:val="24"/>
        </w:rPr>
        <w:t xml:space="preserve">Exhibit </w:t>
      </w:r>
      <w:r w:rsidR="00E24F5A">
        <w:rPr>
          <w:rFonts w:ascii="Arial" w:hAnsi="Arial" w:cs="Arial"/>
          <w:bCs/>
          <w:sz w:val="24"/>
          <w:szCs w:val="24"/>
        </w:rPr>
        <w:t xml:space="preserve">6 - </w:t>
      </w:r>
      <w:r w:rsidR="00387BF2" w:rsidRPr="00387BF2">
        <w:rPr>
          <w:rFonts w:ascii="Arial" w:hAnsi="Arial" w:cs="Arial"/>
          <w:bCs/>
          <w:sz w:val="24"/>
          <w:szCs w:val="24"/>
        </w:rPr>
        <w:t xml:space="preserve">November </w:t>
      </w:r>
      <w:r w:rsidR="00AF4A8F">
        <w:rPr>
          <w:rFonts w:ascii="Arial" w:hAnsi="Arial" w:cs="Arial"/>
          <w:bCs/>
          <w:sz w:val="24"/>
          <w:szCs w:val="24"/>
        </w:rPr>
        <w:t>24</w:t>
      </w:r>
      <w:r w:rsidR="00387BF2" w:rsidRPr="00387BF2">
        <w:rPr>
          <w:rFonts w:ascii="Arial" w:hAnsi="Arial" w:cs="Arial"/>
          <w:bCs/>
          <w:sz w:val="24"/>
          <w:szCs w:val="24"/>
        </w:rPr>
        <w:t>, 2025, Trip Generation Statement</w:t>
      </w:r>
      <w:r w:rsidR="00070863">
        <w:rPr>
          <w:rFonts w:ascii="Arial" w:hAnsi="Arial" w:cs="Arial"/>
          <w:bCs/>
          <w:sz w:val="24"/>
          <w:szCs w:val="24"/>
        </w:rPr>
        <w:t xml:space="preserve">, </w:t>
      </w:r>
      <w:proofErr w:type="spellStart"/>
      <w:r w:rsidR="00070863" w:rsidRPr="005E16DC">
        <w:rPr>
          <w:rFonts w:ascii="Arial" w:hAnsi="Arial" w:cs="Arial"/>
          <w:sz w:val="24"/>
          <w:szCs w:val="24"/>
        </w:rPr>
        <w:t>KBP</w:t>
      </w:r>
      <w:proofErr w:type="spellEnd"/>
      <w:r w:rsidR="00070863" w:rsidRPr="005E16DC">
        <w:rPr>
          <w:rFonts w:ascii="Arial" w:hAnsi="Arial" w:cs="Arial"/>
          <w:sz w:val="24"/>
          <w:szCs w:val="24"/>
        </w:rPr>
        <w:t xml:space="preserve"> Consulting, Inc.</w:t>
      </w:r>
    </w:p>
    <w:p w14:paraId="14D35152" w14:textId="683A03C3" w:rsidR="00B35309" w:rsidRDefault="003D078E" w:rsidP="004972BE">
      <w:pPr>
        <w:spacing w:after="0" w:line="240" w:lineRule="auto"/>
        <w:jc w:val="both"/>
        <w:rPr>
          <w:rFonts w:ascii="Arial" w:hAnsi="Arial" w:cs="Arial"/>
          <w:bCs/>
          <w:sz w:val="24"/>
          <w:szCs w:val="24"/>
        </w:rPr>
      </w:pPr>
      <w:r>
        <w:rPr>
          <w:rFonts w:ascii="Arial" w:hAnsi="Arial" w:cs="Arial"/>
          <w:bCs/>
          <w:sz w:val="24"/>
          <w:szCs w:val="24"/>
        </w:rPr>
        <w:t xml:space="preserve">Exhibit </w:t>
      </w:r>
      <w:r w:rsidR="00E24F5A">
        <w:rPr>
          <w:rFonts w:ascii="Arial" w:hAnsi="Arial" w:cs="Arial"/>
          <w:bCs/>
          <w:sz w:val="24"/>
          <w:szCs w:val="24"/>
        </w:rPr>
        <w:t xml:space="preserve">7 - </w:t>
      </w:r>
      <w:r>
        <w:rPr>
          <w:rFonts w:ascii="Arial" w:hAnsi="Arial" w:cs="Arial"/>
          <w:bCs/>
          <w:sz w:val="24"/>
          <w:szCs w:val="24"/>
        </w:rPr>
        <w:t>Public Par</w:t>
      </w:r>
      <w:r w:rsidR="00B35309">
        <w:rPr>
          <w:rFonts w:ascii="Arial" w:hAnsi="Arial" w:cs="Arial"/>
          <w:bCs/>
          <w:sz w:val="24"/>
          <w:szCs w:val="24"/>
        </w:rPr>
        <w:t>ticipation Affidavit and Summary</w:t>
      </w:r>
    </w:p>
    <w:p w14:paraId="4C6DB98C" w14:textId="09BACA8C" w:rsidR="004972BE" w:rsidRPr="000151DD" w:rsidRDefault="004972BE" w:rsidP="004972BE">
      <w:pPr>
        <w:spacing w:after="0" w:line="240" w:lineRule="auto"/>
        <w:jc w:val="both"/>
        <w:rPr>
          <w:rFonts w:ascii="Arial" w:hAnsi="Arial" w:cs="Arial"/>
          <w:bCs/>
          <w:sz w:val="24"/>
          <w:szCs w:val="24"/>
        </w:rPr>
      </w:pPr>
      <w:r w:rsidRPr="000151DD">
        <w:rPr>
          <w:rFonts w:ascii="Arial" w:hAnsi="Arial" w:cs="Arial"/>
          <w:bCs/>
          <w:sz w:val="24"/>
          <w:szCs w:val="24"/>
        </w:rPr>
        <w:t xml:space="preserve">Exhibit </w:t>
      </w:r>
      <w:r w:rsidR="00FB1330">
        <w:rPr>
          <w:rFonts w:ascii="Arial" w:hAnsi="Arial" w:cs="Arial"/>
          <w:bCs/>
          <w:sz w:val="24"/>
          <w:szCs w:val="24"/>
        </w:rPr>
        <w:t>8</w:t>
      </w:r>
      <w:r w:rsidR="00FF3B57" w:rsidRPr="000151DD">
        <w:rPr>
          <w:rFonts w:ascii="Arial" w:hAnsi="Arial" w:cs="Arial"/>
          <w:bCs/>
          <w:sz w:val="24"/>
          <w:szCs w:val="24"/>
        </w:rPr>
        <w:t xml:space="preserve"> </w:t>
      </w:r>
      <w:r w:rsidR="006A1B51">
        <w:rPr>
          <w:rFonts w:ascii="Arial" w:hAnsi="Arial" w:cs="Arial"/>
          <w:bCs/>
          <w:sz w:val="24"/>
          <w:szCs w:val="24"/>
        </w:rPr>
        <w:t>-</w:t>
      </w:r>
      <w:r w:rsidRPr="000151DD">
        <w:rPr>
          <w:rFonts w:ascii="Arial" w:hAnsi="Arial" w:cs="Arial"/>
          <w:bCs/>
          <w:sz w:val="24"/>
          <w:szCs w:val="24"/>
        </w:rPr>
        <w:t xml:space="preserve"> Resolution Approving  </w:t>
      </w:r>
    </w:p>
    <w:p w14:paraId="2873FEC3" w14:textId="5DF90E63" w:rsidR="004972BE" w:rsidRPr="000151DD" w:rsidRDefault="004972BE" w:rsidP="004972BE">
      <w:pPr>
        <w:spacing w:after="0" w:line="240" w:lineRule="auto"/>
        <w:jc w:val="both"/>
        <w:rPr>
          <w:rFonts w:ascii="Arial" w:hAnsi="Arial" w:cs="Arial"/>
          <w:bCs/>
          <w:sz w:val="24"/>
          <w:szCs w:val="24"/>
        </w:rPr>
      </w:pPr>
      <w:r w:rsidRPr="000151DD">
        <w:rPr>
          <w:rFonts w:ascii="Arial" w:hAnsi="Arial" w:cs="Arial"/>
          <w:bCs/>
          <w:sz w:val="24"/>
          <w:szCs w:val="24"/>
        </w:rPr>
        <w:lastRenderedPageBreak/>
        <w:t xml:space="preserve">Exhibit </w:t>
      </w:r>
      <w:r w:rsidR="00FB1330">
        <w:rPr>
          <w:rFonts w:ascii="Arial" w:hAnsi="Arial" w:cs="Arial"/>
          <w:bCs/>
          <w:sz w:val="24"/>
          <w:szCs w:val="24"/>
        </w:rPr>
        <w:t>9</w:t>
      </w:r>
      <w:r w:rsidR="00FF3B57" w:rsidRPr="000151DD">
        <w:rPr>
          <w:rFonts w:ascii="Arial" w:hAnsi="Arial" w:cs="Arial"/>
          <w:bCs/>
          <w:sz w:val="24"/>
          <w:szCs w:val="24"/>
        </w:rPr>
        <w:t xml:space="preserve"> </w:t>
      </w:r>
      <w:r w:rsidR="006A1B51">
        <w:rPr>
          <w:rFonts w:ascii="Arial" w:hAnsi="Arial" w:cs="Arial"/>
          <w:bCs/>
          <w:sz w:val="24"/>
          <w:szCs w:val="24"/>
        </w:rPr>
        <w:t>-</w:t>
      </w:r>
      <w:r w:rsidRPr="000151DD">
        <w:rPr>
          <w:rFonts w:ascii="Arial" w:hAnsi="Arial" w:cs="Arial"/>
          <w:bCs/>
          <w:sz w:val="24"/>
          <w:szCs w:val="24"/>
        </w:rPr>
        <w:t xml:space="preserve"> Resolution Denying </w:t>
      </w:r>
    </w:p>
    <w:p w14:paraId="70C1B54E" w14:textId="77777777" w:rsidR="00E52CAD" w:rsidRPr="002E26B5" w:rsidRDefault="00E52CAD" w:rsidP="00AF19AE">
      <w:pPr>
        <w:pBdr>
          <w:bottom w:val="single" w:sz="4" w:space="1" w:color="auto"/>
        </w:pBdr>
        <w:spacing w:after="0" w:line="240" w:lineRule="auto"/>
        <w:jc w:val="both"/>
        <w:rPr>
          <w:rFonts w:ascii="Arial" w:hAnsi="Arial" w:cs="Arial"/>
          <w:color w:val="FF0000"/>
          <w:sz w:val="24"/>
          <w:szCs w:val="24"/>
        </w:rPr>
      </w:pPr>
    </w:p>
    <w:p w14:paraId="52556EFD" w14:textId="77777777" w:rsidR="00E52CAD" w:rsidRPr="00960269" w:rsidRDefault="00E52CAD" w:rsidP="00AF19AE">
      <w:pPr>
        <w:spacing w:after="0" w:line="240" w:lineRule="auto"/>
        <w:jc w:val="both"/>
        <w:rPr>
          <w:rFonts w:ascii="Arial" w:hAnsi="Arial" w:cs="Arial"/>
          <w:sz w:val="24"/>
          <w:szCs w:val="24"/>
        </w:rPr>
      </w:pPr>
    </w:p>
    <w:p w14:paraId="18C95EEC" w14:textId="158DD2D3" w:rsidR="00227250" w:rsidRDefault="00227250" w:rsidP="00227250">
      <w:pPr>
        <w:tabs>
          <w:tab w:val="left" w:pos="1620"/>
          <w:tab w:val="left" w:pos="2430"/>
        </w:tabs>
        <w:spacing w:after="0" w:line="240" w:lineRule="auto"/>
        <w:jc w:val="both"/>
        <w:rPr>
          <w:rFonts w:ascii="Arial" w:hAnsi="Arial" w:cs="Arial"/>
          <w:bCs/>
          <w:sz w:val="24"/>
          <w:szCs w:val="24"/>
        </w:rPr>
      </w:pPr>
      <w:bookmarkStart w:id="1" w:name="OLE_LINK1"/>
      <w:r w:rsidRPr="00960269">
        <w:rPr>
          <w:rFonts w:ascii="Arial" w:hAnsi="Arial" w:cs="Arial"/>
          <w:bCs/>
          <w:sz w:val="24"/>
          <w:szCs w:val="24"/>
        </w:rPr>
        <w:t>Prepared by:</w:t>
      </w:r>
      <w:r>
        <w:rPr>
          <w:rFonts w:ascii="Arial" w:hAnsi="Arial" w:cs="Arial"/>
          <w:bCs/>
          <w:sz w:val="24"/>
          <w:szCs w:val="24"/>
        </w:rPr>
        <w:t xml:space="preserve"> </w:t>
      </w:r>
      <w:r w:rsidR="00E669E7">
        <w:rPr>
          <w:rFonts w:ascii="Arial" w:hAnsi="Arial" w:cs="Arial"/>
          <w:bCs/>
          <w:sz w:val="24"/>
          <w:szCs w:val="24"/>
        </w:rPr>
        <w:t>Yvonne Redding</w:t>
      </w:r>
      <w:r>
        <w:rPr>
          <w:rFonts w:ascii="Arial" w:hAnsi="Arial" w:cs="Arial"/>
          <w:bCs/>
          <w:sz w:val="24"/>
          <w:szCs w:val="24"/>
        </w:rPr>
        <w:t>, Urban Planner I</w:t>
      </w:r>
      <w:r w:rsidR="00E669E7">
        <w:rPr>
          <w:rFonts w:ascii="Arial" w:hAnsi="Arial" w:cs="Arial"/>
          <w:bCs/>
          <w:sz w:val="24"/>
          <w:szCs w:val="24"/>
        </w:rPr>
        <w:t>I</w:t>
      </w:r>
      <w:r w:rsidR="005C63AF">
        <w:rPr>
          <w:rFonts w:ascii="Arial" w:hAnsi="Arial" w:cs="Arial"/>
          <w:bCs/>
          <w:sz w:val="24"/>
          <w:szCs w:val="24"/>
        </w:rPr>
        <w:t>I</w:t>
      </w:r>
      <w:r>
        <w:rPr>
          <w:rFonts w:ascii="Arial" w:hAnsi="Arial" w:cs="Arial"/>
          <w:bCs/>
          <w:sz w:val="24"/>
          <w:szCs w:val="24"/>
        </w:rPr>
        <w:t xml:space="preserve">, Development Services Department </w:t>
      </w:r>
    </w:p>
    <w:p w14:paraId="004B41C7" w14:textId="77777777" w:rsidR="00227250" w:rsidRPr="00960269" w:rsidRDefault="00227250" w:rsidP="00227250">
      <w:pPr>
        <w:tabs>
          <w:tab w:val="left" w:pos="1620"/>
          <w:tab w:val="left" w:pos="2430"/>
        </w:tabs>
        <w:spacing w:after="0" w:line="240" w:lineRule="auto"/>
        <w:jc w:val="both"/>
        <w:rPr>
          <w:rFonts w:ascii="Arial" w:hAnsi="Arial" w:cs="Arial"/>
          <w:bCs/>
          <w:sz w:val="24"/>
          <w:szCs w:val="24"/>
        </w:rPr>
      </w:pPr>
      <w:r>
        <w:rPr>
          <w:rFonts w:ascii="Arial" w:hAnsi="Arial" w:cs="Arial"/>
          <w:bCs/>
          <w:sz w:val="24"/>
          <w:szCs w:val="24"/>
        </w:rPr>
        <w:tab/>
      </w:r>
    </w:p>
    <w:p w14:paraId="32C33BB1" w14:textId="5CCF265B" w:rsidR="00E52CAD" w:rsidRPr="00475D21" w:rsidRDefault="00227250" w:rsidP="00AF19AE">
      <w:pPr>
        <w:spacing w:after="0" w:line="240" w:lineRule="auto"/>
        <w:jc w:val="both"/>
        <w:rPr>
          <w:rFonts w:ascii="Arial" w:hAnsi="Arial" w:cs="Arial"/>
          <w:sz w:val="24"/>
          <w:szCs w:val="24"/>
        </w:rPr>
      </w:pPr>
      <w:r>
        <w:rPr>
          <w:rFonts w:ascii="Arial" w:hAnsi="Arial" w:cs="Arial"/>
          <w:bCs/>
          <w:sz w:val="24"/>
          <w:szCs w:val="24"/>
        </w:rPr>
        <w:t xml:space="preserve">Department Director: </w:t>
      </w:r>
      <w:r w:rsidR="00D82A1E">
        <w:rPr>
          <w:rFonts w:ascii="Arial" w:hAnsi="Arial" w:cs="Arial"/>
          <w:bCs/>
          <w:sz w:val="24"/>
          <w:szCs w:val="24"/>
        </w:rPr>
        <w:t>Antho</w:t>
      </w:r>
      <w:r w:rsidR="005A1A3F">
        <w:rPr>
          <w:rFonts w:ascii="Arial" w:hAnsi="Arial" w:cs="Arial"/>
          <w:bCs/>
          <w:sz w:val="24"/>
          <w:szCs w:val="24"/>
        </w:rPr>
        <w:t>ny G. Fajardo</w:t>
      </w:r>
      <w:r>
        <w:rPr>
          <w:rFonts w:ascii="Arial" w:hAnsi="Arial" w:cs="Arial"/>
          <w:bCs/>
          <w:sz w:val="24"/>
          <w:szCs w:val="24"/>
        </w:rPr>
        <w:t>,</w:t>
      </w:r>
      <w:r w:rsidR="005B1C1D">
        <w:rPr>
          <w:rFonts w:ascii="Arial" w:hAnsi="Arial" w:cs="Arial"/>
          <w:bCs/>
          <w:sz w:val="24"/>
          <w:szCs w:val="24"/>
        </w:rPr>
        <w:t xml:space="preserve"> </w:t>
      </w:r>
      <w:r>
        <w:rPr>
          <w:rFonts w:ascii="Arial" w:hAnsi="Arial" w:cs="Arial"/>
          <w:bCs/>
          <w:sz w:val="24"/>
          <w:szCs w:val="24"/>
        </w:rPr>
        <w:t>Development Services Department</w:t>
      </w:r>
      <w:bookmarkEnd w:id="1"/>
    </w:p>
    <w:sectPr w:rsidR="00E52CAD" w:rsidRPr="00475D21" w:rsidSect="00EE4414">
      <w:footerReference w:type="default" r:id="rId12"/>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69B5" w14:textId="77777777" w:rsidR="003C64A9" w:rsidRDefault="003C64A9" w:rsidP="0088408D">
      <w:pPr>
        <w:spacing w:after="0" w:line="240" w:lineRule="auto"/>
      </w:pPr>
      <w:r>
        <w:separator/>
      </w:r>
    </w:p>
  </w:endnote>
  <w:endnote w:type="continuationSeparator" w:id="0">
    <w:p w14:paraId="4622E677" w14:textId="77777777" w:rsidR="003C64A9" w:rsidRDefault="003C64A9"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7E4331F3" w:rsidR="001D40BA" w:rsidRPr="00636B0D" w:rsidRDefault="003D39C6" w:rsidP="0088408D">
            <w:pPr>
              <w:pStyle w:val="Footer"/>
              <w:rPr>
                <w:rFonts w:ascii="Arial" w:hAnsi="Arial" w:cs="Arial"/>
                <w:bCs/>
              </w:rPr>
            </w:pPr>
            <w:r>
              <w:rPr>
                <w:rFonts w:ascii="Arial" w:hAnsi="Arial" w:cs="Arial"/>
              </w:rPr>
              <w:t>05/0</w:t>
            </w:r>
            <w:r w:rsidR="00E669E7">
              <w:rPr>
                <w:rFonts w:ascii="Arial" w:hAnsi="Arial" w:cs="Arial"/>
              </w:rPr>
              <w:t>5</w:t>
            </w:r>
            <w:r w:rsidR="00636B0D" w:rsidRPr="00636B0D">
              <w:rPr>
                <w:rFonts w:ascii="Arial" w:hAnsi="Arial" w:cs="Arial"/>
              </w:rPr>
              <w:t>/</w:t>
            </w:r>
            <w:r w:rsidR="00F8655C">
              <w:rPr>
                <w:rFonts w:ascii="Arial" w:hAnsi="Arial" w:cs="Arial"/>
              </w:rPr>
              <w:t>20</w:t>
            </w:r>
            <w:r w:rsidR="00A354D6">
              <w:rPr>
                <w:rFonts w:ascii="Arial" w:hAnsi="Arial" w:cs="Arial"/>
              </w:rPr>
              <w:t>2</w:t>
            </w:r>
            <w:r w:rsidR="00A47E81">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371EFCC0" w14:textId="78CC337A"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A47E81">
              <w:rPr>
                <w:rFonts w:ascii="Arial" w:hAnsi="Arial" w:cs="Arial"/>
                <w:bCs/>
              </w:rPr>
              <w:t>6</w:t>
            </w:r>
            <w:r w:rsidR="00636B0D" w:rsidRPr="00636B0D">
              <w:rPr>
                <w:rFonts w:ascii="Arial" w:hAnsi="Arial" w:cs="Arial"/>
                <w:bCs/>
              </w:rPr>
              <w:t>-</w:t>
            </w:r>
            <w:r w:rsidR="005F53B9">
              <w:rPr>
                <w:rFonts w:ascii="Arial" w:hAnsi="Arial" w:cs="Arial"/>
                <w:bCs/>
              </w:rPr>
              <w:t>0</w:t>
            </w:r>
            <w:r w:rsidR="00E669E7">
              <w:rPr>
                <w:rFonts w:ascii="Arial" w:hAnsi="Arial" w:cs="Arial"/>
                <w:bCs/>
              </w:rPr>
              <w:t>279</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84B1" w14:textId="77777777" w:rsidR="003C64A9" w:rsidRDefault="003C64A9" w:rsidP="0088408D">
      <w:pPr>
        <w:spacing w:after="0" w:line="240" w:lineRule="auto"/>
      </w:pPr>
      <w:r>
        <w:separator/>
      </w:r>
    </w:p>
  </w:footnote>
  <w:footnote w:type="continuationSeparator" w:id="0">
    <w:p w14:paraId="0A954BF0" w14:textId="77777777" w:rsidR="003C64A9" w:rsidRDefault="003C64A9"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72248"/>
    <w:multiLevelType w:val="hybridMultilevel"/>
    <w:tmpl w:val="63682076"/>
    <w:lvl w:ilvl="0" w:tplc="CFFEE400">
      <w:start w:val="8"/>
      <w:numFmt w:val="bullet"/>
      <w:lvlText w:val="-"/>
      <w:lvlJc w:val="left"/>
      <w:pPr>
        <w:ind w:left="458" w:hanging="360"/>
      </w:pPr>
      <w:rPr>
        <w:rFonts w:ascii="Arial" w:eastAsiaTheme="minorHAnsi" w:hAnsi="Arial" w:cs="Arial"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2" w15:restartNumberingAfterBreak="0">
    <w:nsid w:val="08530C30"/>
    <w:multiLevelType w:val="hybridMultilevel"/>
    <w:tmpl w:val="627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A7762"/>
    <w:multiLevelType w:val="multilevel"/>
    <w:tmpl w:val="764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66DDC"/>
    <w:multiLevelType w:val="hybridMultilevel"/>
    <w:tmpl w:val="B1EE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F053EF"/>
    <w:multiLevelType w:val="multilevel"/>
    <w:tmpl w:val="6D5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64864"/>
    <w:multiLevelType w:val="multilevel"/>
    <w:tmpl w:val="C9C0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F72A78"/>
    <w:multiLevelType w:val="hybridMultilevel"/>
    <w:tmpl w:val="08E0B312"/>
    <w:lvl w:ilvl="0" w:tplc="0DC466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5756D"/>
    <w:multiLevelType w:val="hybridMultilevel"/>
    <w:tmpl w:val="F88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E0AF4"/>
    <w:multiLevelType w:val="hybridMultilevel"/>
    <w:tmpl w:val="D77C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3625D"/>
    <w:multiLevelType w:val="hybridMultilevel"/>
    <w:tmpl w:val="C538A3A4"/>
    <w:lvl w:ilvl="0" w:tplc="3B441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F65C8"/>
    <w:multiLevelType w:val="multilevel"/>
    <w:tmpl w:val="F026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8B3D8F"/>
    <w:multiLevelType w:val="hybridMultilevel"/>
    <w:tmpl w:val="DFCAE0B8"/>
    <w:lvl w:ilvl="0" w:tplc="42E6F82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714C8"/>
    <w:multiLevelType w:val="hybridMultilevel"/>
    <w:tmpl w:val="002ABADE"/>
    <w:lvl w:ilvl="0" w:tplc="BF84B07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04D2F"/>
    <w:multiLevelType w:val="multilevel"/>
    <w:tmpl w:val="76704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103040">
    <w:abstractNumId w:val="4"/>
  </w:num>
  <w:num w:numId="2" w16cid:durableId="580679034">
    <w:abstractNumId w:val="5"/>
  </w:num>
  <w:num w:numId="3" w16cid:durableId="269355427">
    <w:abstractNumId w:val="7"/>
  </w:num>
  <w:num w:numId="4" w16cid:durableId="1353603358">
    <w:abstractNumId w:val="20"/>
  </w:num>
  <w:num w:numId="5" w16cid:durableId="1041515794">
    <w:abstractNumId w:val="17"/>
  </w:num>
  <w:num w:numId="6" w16cid:durableId="1871339308">
    <w:abstractNumId w:val="21"/>
  </w:num>
  <w:num w:numId="7" w16cid:durableId="1711495568">
    <w:abstractNumId w:val="12"/>
  </w:num>
  <w:num w:numId="8" w16cid:durableId="1247958356">
    <w:abstractNumId w:val="18"/>
  </w:num>
  <w:num w:numId="9" w16cid:durableId="5909739">
    <w:abstractNumId w:val="0"/>
  </w:num>
  <w:num w:numId="10" w16cid:durableId="764152194">
    <w:abstractNumId w:val="9"/>
  </w:num>
  <w:num w:numId="11" w16cid:durableId="316610514">
    <w:abstractNumId w:val="8"/>
  </w:num>
  <w:num w:numId="12" w16cid:durableId="206651884">
    <w:abstractNumId w:val="3"/>
  </w:num>
  <w:num w:numId="13" w16cid:durableId="1170632164">
    <w:abstractNumId w:val="13"/>
  </w:num>
  <w:num w:numId="14" w16cid:durableId="398595717">
    <w:abstractNumId w:val="16"/>
  </w:num>
  <w:num w:numId="15" w16cid:durableId="750927976">
    <w:abstractNumId w:val="2"/>
  </w:num>
  <w:num w:numId="16" w16cid:durableId="874316763">
    <w:abstractNumId w:val="14"/>
  </w:num>
  <w:num w:numId="17" w16cid:durableId="1415082115">
    <w:abstractNumId w:val="6"/>
  </w:num>
  <w:num w:numId="18" w16cid:durableId="2049598273">
    <w:abstractNumId w:val="15"/>
  </w:num>
  <w:num w:numId="19" w16cid:durableId="681781224">
    <w:abstractNumId w:val="22"/>
  </w:num>
  <w:num w:numId="20" w16cid:durableId="629941976">
    <w:abstractNumId w:val="1"/>
  </w:num>
  <w:num w:numId="21" w16cid:durableId="548152612">
    <w:abstractNumId w:val="10"/>
  </w:num>
  <w:num w:numId="22" w16cid:durableId="306400159">
    <w:abstractNumId w:val="19"/>
  </w:num>
  <w:num w:numId="23" w16cid:durableId="143818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0B3B"/>
    <w:rsid w:val="00001284"/>
    <w:rsid w:val="00005C46"/>
    <w:rsid w:val="00011D86"/>
    <w:rsid w:val="00012AFE"/>
    <w:rsid w:val="00012FDB"/>
    <w:rsid w:val="000134B4"/>
    <w:rsid w:val="000151DD"/>
    <w:rsid w:val="00015663"/>
    <w:rsid w:val="00022161"/>
    <w:rsid w:val="0002448E"/>
    <w:rsid w:val="00025078"/>
    <w:rsid w:val="00025A63"/>
    <w:rsid w:val="000327B8"/>
    <w:rsid w:val="000329CC"/>
    <w:rsid w:val="0003389A"/>
    <w:rsid w:val="00036F71"/>
    <w:rsid w:val="00043D5A"/>
    <w:rsid w:val="00043DDB"/>
    <w:rsid w:val="00047292"/>
    <w:rsid w:val="000502A4"/>
    <w:rsid w:val="00053FAB"/>
    <w:rsid w:val="0005556F"/>
    <w:rsid w:val="00055857"/>
    <w:rsid w:val="000560C6"/>
    <w:rsid w:val="00057244"/>
    <w:rsid w:val="00057A02"/>
    <w:rsid w:val="00057B83"/>
    <w:rsid w:val="00060C43"/>
    <w:rsid w:val="00061FE2"/>
    <w:rsid w:val="00062374"/>
    <w:rsid w:val="00064628"/>
    <w:rsid w:val="00064A0C"/>
    <w:rsid w:val="00065E62"/>
    <w:rsid w:val="00065E6B"/>
    <w:rsid w:val="00066EDC"/>
    <w:rsid w:val="00067419"/>
    <w:rsid w:val="000677AD"/>
    <w:rsid w:val="00070863"/>
    <w:rsid w:val="00070FE1"/>
    <w:rsid w:val="00074FA0"/>
    <w:rsid w:val="00075239"/>
    <w:rsid w:val="00077E53"/>
    <w:rsid w:val="00080132"/>
    <w:rsid w:val="000806CF"/>
    <w:rsid w:val="00081287"/>
    <w:rsid w:val="000816A2"/>
    <w:rsid w:val="00081F95"/>
    <w:rsid w:val="00084821"/>
    <w:rsid w:val="00085272"/>
    <w:rsid w:val="00093153"/>
    <w:rsid w:val="0009785F"/>
    <w:rsid w:val="00097B7F"/>
    <w:rsid w:val="000A1482"/>
    <w:rsid w:val="000A2560"/>
    <w:rsid w:val="000A3417"/>
    <w:rsid w:val="000A568B"/>
    <w:rsid w:val="000A7D2A"/>
    <w:rsid w:val="000A7D42"/>
    <w:rsid w:val="000B1866"/>
    <w:rsid w:val="000B35FF"/>
    <w:rsid w:val="000B42CF"/>
    <w:rsid w:val="000B4E8D"/>
    <w:rsid w:val="000B4F9B"/>
    <w:rsid w:val="000C094F"/>
    <w:rsid w:val="000C1F74"/>
    <w:rsid w:val="000C2BFC"/>
    <w:rsid w:val="000C3C8D"/>
    <w:rsid w:val="000C478A"/>
    <w:rsid w:val="000C49D6"/>
    <w:rsid w:val="000C59A5"/>
    <w:rsid w:val="000C5A70"/>
    <w:rsid w:val="000C712C"/>
    <w:rsid w:val="000D097B"/>
    <w:rsid w:val="000D2A43"/>
    <w:rsid w:val="000D3E89"/>
    <w:rsid w:val="000D4949"/>
    <w:rsid w:val="000E081A"/>
    <w:rsid w:val="000E0E38"/>
    <w:rsid w:val="000E29C6"/>
    <w:rsid w:val="000E2B71"/>
    <w:rsid w:val="000E4B1F"/>
    <w:rsid w:val="000E5A12"/>
    <w:rsid w:val="000E7065"/>
    <w:rsid w:val="000E7134"/>
    <w:rsid w:val="000F0F36"/>
    <w:rsid w:val="000F4881"/>
    <w:rsid w:val="000F49FB"/>
    <w:rsid w:val="000F698E"/>
    <w:rsid w:val="00100FD3"/>
    <w:rsid w:val="00104E72"/>
    <w:rsid w:val="001111D2"/>
    <w:rsid w:val="0011230D"/>
    <w:rsid w:val="00112381"/>
    <w:rsid w:val="001149E3"/>
    <w:rsid w:val="00115D03"/>
    <w:rsid w:val="001200D4"/>
    <w:rsid w:val="00120D1A"/>
    <w:rsid w:val="00122957"/>
    <w:rsid w:val="00122DC6"/>
    <w:rsid w:val="00123D1E"/>
    <w:rsid w:val="00124BBC"/>
    <w:rsid w:val="001302C0"/>
    <w:rsid w:val="0013032B"/>
    <w:rsid w:val="001312FC"/>
    <w:rsid w:val="00131B78"/>
    <w:rsid w:val="001323CF"/>
    <w:rsid w:val="00133434"/>
    <w:rsid w:val="00133A70"/>
    <w:rsid w:val="00133CE4"/>
    <w:rsid w:val="001376AC"/>
    <w:rsid w:val="001402A9"/>
    <w:rsid w:val="00141542"/>
    <w:rsid w:val="00141A34"/>
    <w:rsid w:val="001420E5"/>
    <w:rsid w:val="0014552A"/>
    <w:rsid w:val="00150241"/>
    <w:rsid w:val="00151126"/>
    <w:rsid w:val="00153CF2"/>
    <w:rsid w:val="00155959"/>
    <w:rsid w:val="00157AB3"/>
    <w:rsid w:val="00160CA5"/>
    <w:rsid w:val="00161AA7"/>
    <w:rsid w:val="00161BA0"/>
    <w:rsid w:val="00161DD2"/>
    <w:rsid w:val="00163A0D"/>
    <w:rsid w:val="0016433D"/>
    <w:rsid w:val="00164994"/>
    <w:rsid w:val="00164E44"/>
    <w:rsid w:val="00167B6E"/>
    <w:rsid w:val="00172416"/>
    <w:rsid w:val="001731FC"/>
    <w:rsid w:val="00173507"/>
    <w:rsid w:val="001745A4"/>
    <w:rsid w:val="00174C75"/>
    <w:rsid w:val="0017735E"/>
    <w:rsid w:val="00180E02"/>
    <w:rsid w:val="0018126B"/>
    <w:rsid w:val="00182029"/>
    <w:rsid w:val="00182DF6"/>
    <w:rsid w:val="001834C8"/>
    <w:rsid w:val="00183CE8"/>
    <w:rsid w:val="0018620A"/>
    <w:rsid w:val="001864B9"/>
    <w:rsid w:val="001867FB"/>
    <w:rsid w:val="00186A5C"/>
    <w:rsid w:val="001911F8"/>
    <w:rsid w:val="00191D5C"/>
    <w:rsid w:val="001949EC"/>
    <w:rsid w:val="001951AE"/>
    <w:rsid w:val="00195CD0"/>
    <w:rsid w:val="00195D42"/>
    <w:rsid w:val="00196855"/>
    <w:rsid w:val="001A1FBD"/>
    <w:rsid w:val="001A3336"/>
    <w:rsid w:val="001A3C97"/>
    <w:rsid w:val="001A7641"/>
    <w:rsid w:val="001A7C99"/>
    <w:rsid w:val="001B195E"/>
    <w:rsid w:val="001B4B9D"/>
    <w:rsid w:val="001B5F0D"/>
    <w:rsid w:val="001B6C44"/>
    <w:rsid w:val="001B7088"/>
    <w:rsid w:val="001B739F"/>
    <w:rsid w:val="001B7800"/>
    <w:rsid w:val="001C1860"/>
    <w:rsid w:val="001C5A67"/>
    <w:rsid w:val="001D058B"/>
    <w:rsid w:val="001D229C"/>
    <w:rsid w:val="001D3827"/>
    <w:rsid w:val="001D40BA"/>
    <w:rsid w:val="001D45CA"/>
    <w:rsid w:val="001D49BB"/>
    <w:rsid w:val="001D7A63"/>
    <w:rsid w:val="001E079C"/>
    <w:rsid w:val="001E2797"/>
    <w:rsid w:val="001E3079"/>
    <w:rsid w:val="001E41EF"/>
    <w:rsid w:val="001E4540"/>
    <w:rsid w:val="001E472A"/>
    <w:rsid w:val="001E4929"/>
    <w:rsid w:val="001E576E"/>
    <w:rsid w:val="001E5FAC"/>
    <w:rsid w:val="001E6102"/>
    <w:rsid w:val="001E7587"/>
    <w:rsid w:val="001E762E"/>
    <w:rsid w:val="001F42F4"/>
    <w:rsid w:val="001F4540"/>
    <w:rsid w:val="001F6845"/>
    <w:rsid w:val="001F7052"/>
    <w:rsid w:val="00201107"/>
    <w:rsid w:val="002027E2"/>
    <w:rsid w:val="0020319C"/>
    <w:rsid w:val="002043F9"/>
    <w:rsid w:val="0020496A"/>
    <w:rsid w:val="00205C30"/>
    <w:rsid w:val="00210CA3"/>
    <w:rsid w:val="00210E9D"/>
    <w:rsid w:val="00210F55"/>
    <w:rsid w:val="002122B7"/>
    <w:rsid w:val="00213115"/>
    <w:rsid w:val="00214DB2"/>
    <w:rsid w:val="0021547E"/>
    <w:rsid w:val="00215D35"/>
    <w:rsid w:val="002165D3"/>
    <w:rsid w:val="00217A6B"/>
    <w:rsid w:val="00221C30"/>
    <w:rsid w:val="00222FD7"/>
    <w:rsid w:val="002239A2"/>
    <w:rsid w:val="00223C96"/>
    <w:rsid w:val="00223D34"/>
    <w:rsid w:val="00226ED7"/>
    <w:rsid w:val="00226F45"/>
    <w:rsid w:val="00227250"/>
    <w:rsid w:val="002279C7"/>
    <w:rsid w:val="002302E3"/>
    <w:rsid w:val="00230458"/>
    <w:rsid w:val="0023149C"/>
    <w:rsid w:val="00233DE2"/>
    <w:rsid w:val="00235017"/>
    <w:rsid w:val="00240E51"/>
    <w:rsid w:val="00247B74"/>
    <w:rsid w:val="00252D08"/>
    <w:rsid w:val="0025404C"/>
    <w:rsid w:val="002552BA"/>
    <w:rsid w:val="0025632F"/>
    <w:rsid w:val="00260B46"/>
    <w:rsid w:val="002626F7"/>
    <w:rsid w:val="00264398"/>
    <w:rsid w:val="00265008"/>
    <w:rsid w:val="0026628F"/>
    <w:rsid w:val="0026656B"/>
    <w:rsid w:val="0026779C"/>
    <w:rsid w:val="002702F8"/>
    <w:rsid w:val="00270F1F"/>
    <w:rsid w:val="00272DF4"/>
    <w:rsid w:val="00272FC1"/>
    <w:rsid w:val="00273282"/>
    <w:rsid w:val="0027407D"/>
    <w:rsid w:val="00274A82"/>
    <w:rsid w:val="002758AD"/>
    <w:rsid w:val="002779F2"/>
    <w:rsid w:val="00277A58"/>
    <w:rsid w:val="00280D68"/>
    <w:rsid w:val="0028568B"/>
    <w:rsid w:val="0028760E"/>
    <w:rsid w:val="00287B13"/>
    <w:rsid w:val="00287EE1"/>
    <w:rsid w:val="00292268"/>
    <w:rsid w:val="002925A0"/>
    <w:rsid w:val="00296A2C"/>
    <w:rsid w:val="00296A66"/>
    <w:rsid w:val="002A191A"/>
    <w:rsid w:val="002A582D"/>
    <w:rsid w:val="002A67C5"/>
    <w:rsid w:val="002A6F0D"/>
    <w:rsid w:val="002A758E"/>
    <w:rsid w:val="002A7DCD"/>
    <w:rsid w:val="002B07E8"/>
    <w:rsid w:val="002B276C"/>
    <w:rsid w:val="002B4273"/>
    <w:rsid w:val="002B6B7F"/>
    <w:rsid w:val="002B7EDD"/>
    <w:rsid w:val="002C0319"/>
    <w:rsid w:val="002C04B8"/>
    <w:rsid w:val="002C51CB"/>
    <w:rsid w:val="002C5FFB"/>
    <w:rsid w:val="002C6FA1"/>
    <w:rsid w:val="002C74D3"/>
    <w:rsid w:val="002C77E5"/>
    <w:rsid w:val="002D20ED"/>
    <w:rsid w:val="002D40E1"/>
    <w:rsid w:val="002D443A"/>
    <w:rsid w:val="002D594F"/>
    <w:rsid w:val="002E177D"/>
    <w:rsid w:val="002E18D5"/>
    <w:rsid w:val="002E6226"/>
    <w:rsid w:val="002E67AA"/>
    <w:rsid w:val="002E68CF"/>
    <w:rsid w:val="002E6E39"/>
    <w:rsid w:val="002F24E4"/>
    <w:rsid w:val="002F5827"/>
    <w:rsid w:val="002F59D5"/>
    <w:rsid w:val="00301D83"/>
    <w:rsid w:val="00302AEC"/>
    <w:rsid w:val="003043B4"/>
    <w:rsid w:val="00304489"/>
    <w:rsid w:val="00304ED7"/>
    <w:rsid w:val="00305262"/>
    <w:rsid w:val="00311753"/>
    <w:rsid w:val="0031451B"/>
    <w:rsid w:val="00315AD6"/>
    <w:rsid w:val="003167D2"/>
    <w:rsid w:val="003173BE"/>
    <w:rsid w:val="00317687"/>
    <w:rsid w:val="00321302"/>
    <w:rsid w:val="003224FC"/>
    <w:rsid w:val="0032519E"/>
    <w:rsid w:val="00325655"/>
    <w:rsid w:val="0032605D"/>
    <w:rsid w:val="00327B39"/>
    <w:rsid w:val="00335F5C"/>
    <w:rsid w:val="0033770C"/>
    <w:rsid w:val="00337E20"/>
    <w:rsid w:val="00340187"/>
    <w:rsid w:val="00342572"/>
    <w:rsid w:val="00342A92"/>
    <w:rsid w:val="00350F39"/>
    <w:rsid w:val="003527E0"/>
    <w:rsid w:val="00352BA3"/>
    <w:rsid w:val="00352CDC"/>
    <w:rsid w:val="00356F37"/>
    <w:rsid w:val="003577C5"/>
    <w:rsid w:val="0036262D"/>
    <w:rsid w:val="00362E62"/>
    <w:rsid w:val="00363018"/>
    <w:rsid w:val="0036302B"/>
    <w:rsid w:val="00364D03"/>
    <w:rsid w:val="00366F78"/>
    <w:rsid w:val="00370958"/>
    <w:rsid w:val="00371422"/>
    <w:rsid w:val="003720AB"/>
    <w:rsid w:val="003721A6"/>
    <w:rsid w:val="003732A3"/>
    <w:rsid w:val="003766DB"/>
    <w:rsid w:val="00376715"/>
    <w:rsid w:val="0037729C"/>
    <w:rsid w:val="0038099C"/>
    <w:rsid w:val="00382D8A"/>
    <w:rsid w:val="00385010"/>
    <w:rsid w:val="00386307"/>
    <w:rsid w:val="00386361"/>
    <w:rsid w:val="00386F08"/>
    <w:rsid w:val="00387A71"/>
    <w:rsid w:val="00387BF2"/>
    <w:rsid w:val="00390F0A"/>
    <w:rsid w:val="003936BE"/>
    <w:rsid w:val="003942B7"/>
    <w:rsid w:val="003942F5"/>
    <w:rsid w:val="003948BA"/>
    <w:rsid w:val="003A02E7"/>
    <w:rsid w:val="003A07AB"/>
    <w:rsid w:val="003A07C0"/>
    <w:rsid w:val="003A3059"/>
    <w:rsid w:val="003A4D3B"/>
    <w:rsid w:val="003A630B"/>
    <w:rsid w:val="003B11CD"/>
    <w:rsid w:val="003B13D5"/>
    <w:rsid w:val="003B1663"/>
    <w:rsid w:val="003B468D"/>
    <w:rsid w:val="003B4896"/>
    <w:rsid w:val="003B4970"/>
    <w:rsid w:val="003B58AA"/>
    <w:rsid w:val="003B6E3C"/>
    <w:rsid w:val="003B6E90"/>
    <w:rsid w:val="003C196E"/>
    <w:rsid w:val="003C20B8"/>
    <w:rsid w:val="003C3927"/>
    <w:rsid w:val="003C3B2A"/>
    <w:rsid w:val="003C4053"/>
    <w:rsid w:val="003C48F8"/>
    <w:rsid w:val="003C64A9"/>
    <w:rsid w:val="003C7144"/>
    <w:rsid w:val="003D0610"/>
    <w:rsid w:val="003D078E"/>
    <w:rsid w:val="003D0875"/>
    <w:rsid w:val="003D19B7"/>
    <w:rsid w:val="003D39C6"/>
    <w:rsid w:val="003D3F82"/>
    <w:rsid w:val="003D5FC0"/>
    <w:rsid w:val="003D6095"/>
    <w:rsid w:val="003D61D5"/>
    <w:rsid w:val="003D648F"/>
    <w:rsid w:val="003E053A"/>
    <w:rsid w:val="003E1776"/>
    <w:rsid w:val="003E2DC3"/>
    <w:rsid w:val="003E4676"/>
    <w:rsid w:val="003E756E"/>
    <w:rsid w:val="003F041F"/>
    <w:rsid w:val="003F18F9"/>
    <w:rsid w:val="003F1C20"/>
    <w:rsid w:val="003F3BE9"/>
    <w:rsid w:val="004005D8"/>
    <w:rsid w:val="00400658"/>
    <w:rsid w:val="00401016"/>
    <w:rsid w:val="00401B7D"/>
    <w:rsid w:val="004061EB"/>
    <w:rsid w:val="004122B6"/>
    <w:rsid w:val="00415E98"/>
    <w:rsid w:val="00417DAB"/>
    <w:rsid w:val="00420E5C"/>
    <w:rsid w:val="00422064"/>
    <w:rsid w:val="00422206"/>
    <w:rsid w:val="00422261"/>
    <w:rsid w:val="0042401A"/>
    <w:rsid w:val="0042475F"/>
    <w:rsid w:val="004258A9"/>
    <w:rsid w:val="00426CEA"/>
    <w:rsid w:val="004274FA"/>
    <w:rsid w:val="00431BE2"/>
    <w:rsid w:val="00432091"/>
    <w:rsid w:val="0043235D"/>
    <w:rsid w:val="00432AA8"/>
    <w:rsid w:val="00433A6B"/>
    <w:rsid w:val="00434F2E"/>
    <w:rsid w:val="00436E7B"/>
    <w:rsid w:val="00441187"/>
    <w:rsid w:val="004435A7"/>
    <w:rsid w:val="00443C38"/>
    <w:rsid w:val="00444418"/>
    <w:rsid w:val="004455B2"/>
    <w:rsid w:val="00447D5E"/>
    <w:rsid w:val="00450EB3"/>
    <w:rsid w:val="00453B77"/>
    <w:rsid w:val="0045499F"/>
    <w:rsid w:val="00455E8A"/>
    <w:rsid w:val="00462470"/>
    <w:rsid w:val="004635DF"/>
    <w:rsid w:val="004643FF"/>
    <w:rsid w:val="00466291"/>
    <w:rsid w:val="004665AB"/>
    <w:rsid w:val="00467B74"/>
    <w:rsid w:val="00470514"/>
    <w:rsid w:val="0047119F"/>
    <w:rsid w:val="0047249B"/>
    <w:rsid w:val="00473E09"/>
    <w:rsid w:val="004750FE"/>
    <w:rsid w:val="00475D21"/>
    <w:rsid w:val="00476DA7"/>
    <w:rsid w:val="004828CA"/>
    <w:rsid w:val="00484A34"/>
    <w:rsid w:val="00484EB3"/>
    <w:rsid w:val="0048513D"/>
    <w:rsid w:val="00487D78"/>
    <w:rsid w:val="004900DA"/>
    <w:rsid w:val="0049154B"/>
    <w:rsid w:val="004919EF"/>
    <w:rsid w:val="00491BBA"/>
    <w:rsid w:val="0049200D"/>
    <w:rsid w:val="00493BBB"/>
    <w:rsid w:val="00494261"/>
    <w:rsid w:val="00494806"/>
    <w:rsid w:val="00494DE7"/>
    <w:rsid w:val="004972BE"/>
    <w:rsid w:val="004A154D"/>
    <w:rsid w:val="004A1B83"/>
    <w:rsid w:val="004A33CC"/>
    <w:rsid w:val="004A3C62"/>
    <w:rsid w:val="004A4E09"/>
    <w:rsid w:val="004A5CAF"/>
    <w:rsid w:val="004A6278"/>
    <w:rsid w:val="004A68BA"/>
    <w:rsid w:val="004A6D1B"/>
    <w:rsid w:val="004A7421"/>
    <w:rsid w:val="004B02B9"/>
    <w:rsid w:val="004B19F6"/>
    <w:rsid w:val="004B2A14"/>
    <w:rsid w:val="004B2E50"/>
    <w:rsid w:val="004B3868"/>
    <w:rsid w:val="004B44C8"/>
    <w:rsid w:val="004B5154"/>
    <w:rsid w:val="004B7FA8"/>
    <w:rsid w:val="004C0EE8"/>
    <w:rsid w:val="004C1669"/>
    <w:rsid w:val="004C2376"/>
    <w:rsid w:val="004C3822"/>
    <w:rsid w:val="004C4716"/>
    <w:rsid w:val="004C73B3"/>
    <w:rsid w:val="004D4153"/>
    <w:rsid w:val="004D6AA7"/>
    <w:rsid w:val="004E4BE1"/>
    <w:rsid w:val="004F0F2B"/>
    <w:rsid w:val="004F15FD"/>
    <w:rsid w:val="004F1BB2"/>
    <w:rsid w:val="004F20DE"/>
    <w:rsid w:val="004F295E"/>
    <w:rsid w:val="004F5164"/>
    <w:rsid w:val="004F5980"/>
    <w:rsid w:val="004F6F2B"/>
    <w:rsid w:val="005021A8"/>
    <w:rsid w:val="00502526"/>
    <w:rsid w:val="005039F9"/>
    <w:rsid w:val="005055A7"/>
    <w:rsid w:val="00505F7D"/>
    <w:rsid w:val="00507B8B"/>
    <w:rsid w:val="00510132"/>
    <w:rsid w:val="005120E7"/>
    <w:rsid w:val="00513CA3"/>
    <w:rsid w:val="00514DCA"/>
    <w:rsid w:val="00517CE2"/>
    <w:rsid w:val="005216B9"/>
    <w:rsid w:val="00522859"/>
    <w:rsid w:val="0052336C"/>
    <w:rsid w:val="005239FE"/>
    <w:rsid w:val="0052442D"/>
    <w:rsid w:val="0052498C"/>
    <w:rsid w:val="00524FBD"/>
    <w:rsid w:val="0052557D"/>
    <w:rsid w:val="0052563D"/>
    <w:rsid w:val="00526CD6"/>
    <w:rsid w:val="00527985"/>
    <w:rsid w:val="005341CC"/>
    <w:rsid w:val="005351FA"/>
    <w:rsid w:val="005371A7"/>
    <w:rsid w:val="005373A6"/>
    <w:rsid w:val="00537AD0"/>
    <w:rsid w:val="0054361E"/>
    <w:rsid w:val="00543EF5"/>
    <w:rsid w:val="00544008"/>
    <w:rsid w:val="00544FD1"/>
    <w:rsid w:val="00545F00"/>
    <w:rsid w:val="00546A06"/>
    <w:rsid w:val="00547231"/>
    <w:rsid w:val="00547E37"/>
    <w:rsid w:val="00554CF3"/>
    <w:rsid w:val="0055556F"/>
    <w:rsid w:val="005574F1"/>
    <w:rsid w:val="005605F1"/>
    <w:rsid w:val="00560C6B"/>
    <w:rsid w:val="00562B42"/>
    <w:rsid w:val="00566B1B"/>
    <w:rsid w:val="00567B02"/>
    <w:rsid w:val="00570BE4"/>
    <w:rsid w:val="005716C5"/>
    <w:rsid w:val="0057172E"/>
    <w:rsid w:val="00571E10"/>
    <w:rsid w:val="00572116"/>
    <w:rsid w:val="0057270A"/>
    <w:rsid w:val="00574E09"/>
    <w:rsid w:val="00575402"/>
    <w:rsid w:val="00576545"/>
    <w:rsid w:val="00577A5F"/>
    <w:rsid w:val="00580AA1"/>
    <w:rsid w:val="0058198A"/>
    <w:rsid w:val="005841B7"/>
    <w:rsid w:val="00584B6A"/>
    <w:rsid w:val="0058658C"/>
    <w:rsid w:val="005918E8"/>
    <w:rsid w:val="00595C11"/>
    <w:rsid w:val="00596CEB"/>
    <w:rsid w:val="00596D7E"/>
    <w:rsid w:val="005A1A3F"/>
    <w:rsid w:val="005A2DF3"/>
    <w:rsid w:val="005A357C"/>
    <w:rsid w:val="005A42B3"/>
    <w:rsid w:val="005B0488"/>
    <w:rsid w:val="005B196D"/>
    <w:rsid w:val="005B1C1D"/>
    <w:rsid w:val="005B6BC6"/>
    <w:rsid w:val="005B7063"/>
    <w:rsid w:val="005C2AD7"/>
    <w:rsid w:val="005C3183"/>
    <w:rsid w:val="005C5FE8"/>
    <w:rsid w:val="005C63AF"/>
    <w:rsid w:val="005D1438"/>
    <w:rsid w:val="005D2B23"/>
    <w:rsid w:val="005D376E"/>
    <w:rsid w:val="005D6DF8"/>
    <w:rsid w:val="005E16DC"/>
    <w:rsid w:val="005E287B"/>
    <w:rsid w:val="005E4D66"/>
    <w:rsid w:val="005E62E3"/>
    <w:rsid w:val="005E6764"/>
    <w:rsid w:val="005E727D"/>
    <w:rsid w:val="005F0598"/>
    <w:rsid w:val="005F0842"/>
    <w:rsid w:val="005F3714"/>
    <w:rsid w:val="005F4E4D"/>
    <w:rsid w:val="005F53B9"/>
    <w:rsid w:val="005F6BCD"/>
    <w:rsid w:val="005F6E78"/>
    <w:rsid w:val="005F715D"/>
    <w:rsid w:val="005F7A4C"/>
    <w:rsid w:val="00602B66"/>
    <w:rsid w:val="00602FD1"/>
    <w:rsid w:val="00603859"/>
    <w:rsid w:val="0060513B"/>
    <w:rsid w:val="00605895"/>
    <w:rsid w:val="00606A26"/>
    <w:rsid w:val="006073BC"/>
    <w:rsid w:val="00612FD4"/>
    <w:rsid w:val="00613D1D"/>
    <w:rsid w:val="00613D9E"/>
    <w:rsid w:val="006149EE"/>
    <w:rsid w:val="00615E14"/>
    <w:rsid w:val="006237C8"/>
    <w:rsid w:val="00623CE5"/>
    <w:rsid w:val="00626CD5"/>
    <w:rsid w:val="00633F0B"/>
    <w:rsid w:val="00636B0D"/>
    <w:rsid w:val="006403F3"/>
    <w:rsid w:val="00642312"/>
    <w:rsid w:val="00644AAC"/>
    <w:rsid w:val="00645060"/>
    <w:rsid w:val="00645BB9"/>
    <w:rsid w:val="00646774"/>
    <w:rsid w:val="00651415"/>
    <w:rsid w:val="006514C0"/>
    <w:rsid w:val="00654742"/>
    <w:rsid w:val="00654A52"/>
    <w:rsid w:val="0065595F"/>
    <w:rsid w:val="0066243F"/>
    <w:rsid w:val="0066439E"/>
    <w:rsid w:val="00664545"/>
    <w:rsid w:val="006657A5"/>
    <w:rsid w:val="0066711B"/>
    <w:rsid w:val="006766D1"/>
    <w:rsid w:val="00677D3E"/>
    <w:rsid w:val="00681CB8"/>
    <w:rsid w:val="0068201E"/>
    <w:rsid w:val="006827A5"/>
    <w:rsid w:val="00685042"/>
    <w:rsid w:val="0068575A"/>
    <w:rsid w:val="00686858"/>
    <w:rsid w:val="00690E85"/>
    <w:rsid w:val="00691659"/>
    <w:rsid w:val="0069649B"/>
    <w:rsid w:val="00697059"/>
    <w:rsid w:val="006A0872"/>
    <w:rsid w:val="006A1B51"/>
    <w:rsid w:val="006A25F4"/>
    <w:rsid w:val="006A39E7"/>
    <w:rsid w:val="006A6515"/>
    <w:rsid w:val="006A731C"/>
    <w:rsid w:val="006B0655"/>
    <w:rsid w:val="006B572C"/>
    <w:rsid w:val="006B6215"/>
    <w:rsid w:val="006B673B"/>
    <w:rsid w:val="006B7684"/>
    <w:rsid w:val="006B7C54"/>
    <w:rsid w:val="006B7D48"/>
    <w:rsid w:val="006C3D6C"/>
    <w:rsid w:val="006C5B47"/>
    <w:rsid w:val="006D1E13"/>
    <w:rsid w:val="006D3F1A"/>
    <w:rsid w:val="006D457C"/>
    <w:rsid w:val="006D4DA3"/>
    <w:rsid w:val="006D4E33"/>
    <w:rsid w:val="006D51B5"/>
    <w:rsid w:val="006E182D"/>
    <w:rsid w:val="006E3253"/>
    <w:rsid w:val="006E4B17"/>
    <w:rsid w:val="006E4F6A"/>
    <w:rsid w:val="006E5194"/>
    <w:rsid w:val="006E6868"/>
    <w:rsid w:val="006F0F51"/>
    <w:rsid w:val="006F1213"/>
    <w:rsid w:val="006F1504"/>
    <w:rsid w:val="006F1709"/>
    <w:rsid w:val="006F2832"/>
    <w:rsid w:val="006F3A25"/>
    <w:rsid w:val="00701105"/>
    <w:rsid w:val="007015F9"/>
    <w:rsid w:val="00702709"/>
    <w:rsid w:val="00702C75"/>
    <w:rsid w:val="007036B9"/>
    <w:rsid w:val="00703C2E"/>
    <w:rsid w:val="00703EE1"/>
    <w:rsid w:val="00705865"/>
    <w:rsid w:val="00706BB9"/>
    <w:rsid w:val="00707771"/>
    <w:rsid w:val="007079DB"/>
    <w:rsid w:val="00707C10"/>
    <w:rsid w:val="00710570"/>
    <w:rsid w:val="007124FD"/>
    <w:rsid w:val="007125DC"/>
    <w:rsid w:val="00715748"/>
    <w:rsid w:val="007166CA"/>
    <w:rsid w:val="007166FF"/>
    <w:rsid w:val="00720BEF"/>
    <w:rsid w:val="0072144D"/>
    <w:rsid w:val="00722394"/>
    <w:rsid w:val="007300E0"/>
    <w:rsid w:val="00730539"/>
    <w:rsid w:val="00730758"/>
    <w:rsid w:val="00730A2E"/>
    <w:rsid w:val="00730B90"/>
    <w:rsid w:val="00731A1C"/>
    <w:rsid w:val="0073380B"/>
    <w:rsid w:val="00733826"/>
    <w:rsid w:val="00737C3F"/>
    <w:rsid w:val="00740BDD"/>
    <w:rsid w:val="00741AA1"/>
    <w:rsid w:val="00746139"/>
    <w:rsid w:val="00747EFD"/>
    <w:rsid w:val="007501B6"/>
    <w:rsid w:val="00752B4D"/>
    <w:rsid w:val="007534E9"/>
    <w:rsid w:val="00757059"/>
    <w:rsid w:val="00760832"/>
    <w:rsid w:val="007621EF"/>
    <w:rsid w:val="007631B4"/>
    <w:rsid w:val="007633BF"/>
    <w:rsid w:val="00766FB4"/>
    <w:rsid w:val="00772178"/>
    <w:rsid w:val="007725E2"/>
    <w:rsid w:val="00772745"/>
    <w:rsid w:val="00775C23"/>
    <w:rsid w:val="00775EFD"/>
    <w:rsid w:val="0077619B"/>
    <w:rsid w:val="0077722F"/>
    <w:rsid w:val="007803A7"/>
    <w:rsid w:val="0078148A"/>
    <w:rsid w:val="00782151"/>
    <w:rsid w:val="0078253D"/>
    <w:rsid w:val="00783688"/>
    <w:rsid w:val="00785E49"/>
    <w:rsid w:val="0078745C"/>
    <w:rsid w:val="007904C3"/>
    <w:rsid w:val="00790623"/>
    <w:rsid w:val="0079099E"/>
    <w:rsid w:val="007973D0"/>
    <w:rsid w:val="007A00F2"/>
    <w:rsid w:val="007A0819"/>
    <w:rsid w:val="007A10EA"/>
    <w:rsid w:val="007A16E0"/>
    <w:rsid w:val="007A259B"/>
    <w:rsid w:val="007A3CD3"/>
    <w:rsid w:val="007A3D84"/>
    <w:rsid w:val="007A3E91"/>
    <w:rsid w:val="007A418D"/>
    <w:rsid w:val="007A784D"/>
    <w:rsid w:val="007A798F"/>
    <w:rsid w:val="007B01F5"/>
    <w:rsid w:val="007B1F2A"/>
    <w:rsid w:val="007B22C5"/>
    <w:rsid w:val="007B2733"/>
    <w:rsid w:val="007B2DF8"/>
    <w:rsid w:val="007B3490"/>
    <w:rsid w:val="007B35A9"/>
    <w:rsid w:val="007B3D3C"/>
    <w:rsid w:val="007B3D63"/>
    <w:rsid w:val="007B76B7"/>
    <w:rsid w:val="007C0CF1"/>
    <w:rsid w:val="007C23D0"/>
    <w:rsid w:val="007D55A3"/>
    <w:rsid w:val="007E57AC"/>
    <w:rsid w:val="007E6CB4"/>
    <w:rsid w:val="007E79CF"/>
    <w:rsid w:val="007E7B2D"/>
    <w:rsid w:val="007F1B5E"/>
    <w:rsid w:val="007F306E"/>
    <w:rsid w:val="007F5640"/>
    <w:rsid w:val="007F6660"/>
    <w:rsid w:val="007F7351"/>
    <w:rsid w:val="008037E7"/>
    <w:rsid w:val="00803ACC"/>
    <w:rsid w:val="008042A5"/>
    <w:rsid w:val="0080466F"/>
    <w:rsid w:val="00810F8A"/>
    <w:rsid w:val="00813847"/>
    <w:rsid w:val="008140ED"/>
    <w:rsid w:val="00815456"/>
    <w:rsid w:val="008172EE"/>
    <w:rsid w:val="00820833"/>
    <w:rsid w:val="00821867"/>
    <w:rsid w:val="00822053"/>
    <w:rsid w:val="00822F51"/>
    <w:rsid w:val="00827447"/>
    <w:rsid w:val="008311EB"/>
    <w:rsid w:val="008314A9"/>
    <w:rsid w:val="00832582"/>
    <w:rsid w:val="008325D7"/>
    <w:rsid w:val="00832CDD"/>
    <w:rsid w:val="0083397B"/>
    <w:rsid w:val="008345A7"/>
    <w:rsid w:val="00834800"/>
    <w:rsid w:val="008351D3"/>
    <w:rsid w:val="00837309"/>
    <w:rsid w:val="00837DCA"/>
    <w:rsid w:val="008403BB"/>
    <w:rsid w:val="00840DDC"/>
    <w:rsid w:val="0084274D"/>
    <w:rsid w:val="00842AA8"/>
    <w:rsid w:val="00844C72"/>
    <w:rsid w:val="00844F73"/>
    <w:rsid w:val="008460AC"/>
    <w:rsid w:val="00847EAE"/>
    <w:rsid w:val="008505AC"/>
    <w:rsid w:val="00851AD3"/>
    <w:rsid w:val="00851D57"/>
    <w:rsid w:val="00852360"/>
    <w:rsid w:val="00852384"/>
    <w:rsid w:val="00852503"/>
    <w:rsid w:val="0085363A"/>
    <w:rsid w:val="008536F9"/>
    <w:rsid w:val="00853A67"/>
    <w:rsid w:val="00854BDC"/>
    <w:rsid w:val="00856E0C"/>
    <w:rsid w:val="0085748C"/>
    <w:rsid w:val="008601DD"/>
    <w:rsid w:val="00861A05"/>
    <w:rsid w:val="00864D0A"/>
    <w:rsid w:val="00864DEA"/>
    <w:rsid w:val="00865222"/>
    <w:rsid w:val="008652BF"/>
    <w:rsid w:val="00865927"/>
    <w:rsid w:val="00865E98"/>
    <w:rsid w:val="0086613F"/>
    <w:rsid w:val="008663CA"/>
    <w:rsid w:val="0087574E"/>
    <w:rsid w:val="008758AE"/>
    <w:rsid w:val="00876BA5"/>
    <w:rsid w:val="0088008E"/>
    <w:rsid w:val="00883135"/>
    <w:rsid w:val="00883E0B"/>
    <w:rsid w:val="0088408D"/>
    <w:rsid w:val="00887D88"/>
    <w:rsid w:val="008903BA"/>
    <w:rsid w:val="00890715"/>
    <w:rsid w:val="00890BB6"/>
    <w:rsid w:val="008922E8"/>
    <w:rsid w:val="0089364E"/>
    <w:rsid w:val="008937CD"/>
    <w:rsid w:val="0089609D"/>
    <w:rsid w:val="00896992"/>
    <w:rsid w:val="008A2ABF"/>
    <w:rsid w:val="008A4956"/>
    <w:rsid w:val="008A78C5"/>
    <w:rsid w:val="008B0A7E"/>
    <w:rsid w:val="008B0B79"/>
    <w:rsid w:val="008B1B7E"/>
    <w:rsid w:val="008B3259"/>
    <w:rsid w:val="008C1A28"/>
    <w:rsid w:val="008C5D6C"/>
    <w:rsid w:val="008C6172"/>
    <w:rsid w:val="008C6BD9"/>
    <w:rsid w:val="008C6C9A"/>
    <w:rsid w:val="008D0863"/>
    <w:rsid w:val="008D1C5B"/>
    <w:rsid w:val="008D2000"/>
    <w:rsid w:val="008D2C15"/>
    <w:rsid w:val="008D43FA"/>
    <w:rsid w:val="008D5ABF"/>
    <w:rsid w:val="008E0D9A"/>
    <w:rsid w:val="008E1C01"/>
    <w:rsid w:val="008E21B3"/>
    <w:rsid w:val="008E3F9A"/>
    <w:rsid w:val="008E50B2"/>
    <w:rsid w:val="008E7ADB"/>
    <w:rsid w:val="008E7BBB"/>
    <w:rsid w:val="008F2EE6"/>
    <w:rsid w:val="008F3028"/>
    <w:rsid w:val="008F3241"/>
    <w:rsid w:val="00900023"/>
    <w:rsid w:val="009006FC"/>
    <w:rsid w:val="00903457"/>
    <w:rsid w:val="009111E2"/>
    <w:rsid w:val="00911820"/>
    <w:rsid w:val="0091199E"/>
    <w:rsid w:val="00913C92"/>
    <w:rsid w:val="0091453C"/>
    <w:rsid w:val="0091474F"/>
    <w:rsid w:val="00917D6B"/>
    <w:rsid w:val="00920C9F"/>
    <w:rsid w:val="00922A37"/>
    <w:rsid w:val="00923D52"/>
    <w:rsid w:val="00924E19"/>
    <w:rsid w:val="00926756"/>
    <w:rsid w:val="00930A5A"/>
    <w:rsid w:val="00930B47"/>
    <w:rsid w:val="00931CA1"/>
    <w:rsid w:val="0093514A"/>
    <w:rsid w:val="00943EB3"/>
    <w:rsid w:val="00944032"/>
    <w:rsid w:val="00944048"/>
    <w:rsid w:val="009452F8"/>
    <w:rsid w:val="00952C54"/>
    <w:rsid w:val="00960269"/>
    <w:rsid w:val="00960A93"/>
    <w:rsid w:val="00960AC7"/>
    <w:rsid w:val="00960E53"/>
    <w:rsid w:val="009653DB"/>
    <w:rsid w:val="0096560E"/>
    <w:rsid w:val="0096689B"/>
    <w:rsid w:val="00967663"/>
    <w:rsid w:val="00967BA2"/>
    <w:rsid w:val="0097099A"/>
    <w:rsid w:val="009709DB"/>
    <w:rsid w:val="00970E66"/>
    <w:rsid w:val="00972AA5"/>
    <w:rsid w:val="00972CCD"/>
    <w:rsid w:val="009745A6"/>
    <w:rsid w:val="0097637F"/>
    <w:rsid w:val="00977414"/>
    <w:rsid w:val="009809B2"/>
    <w:rsid w:val="00981A73"/>
    <w:rsid w:val="009829C5"/>
    <w:rsid w:val="00987369"/>
    <w:rsid w:val="00991536"/>
    <w:rsid w:val="00992487"/>
    <w:rsid w:val="00995AE6"/>
    <w:rsid w:val="0099692C"/>
    <w:rsid w:val="009A246A"/>
    <w:rsid w:val="009A3BE8"/>
    <w:rsid w:val="009A3E60"/>
    <w:rsid w:val="009A4104"/>
    <w:rsid w:val="009A5D98"/>
    <w:rsid w:val="009B084C"/>
    <w:rsid w:val="009B089C"/>
    <w:rsid w:val="009B13C7"/>
    <w:rsid w:val="009B1685"/>
    <w:rsid w:val="009B360B"/>
    <w:rsid w:val="009B7E23"/>
    <w:rsid w:val="009C21FF"/>
    <w:rsid w:val="009C2E83"/>
    <w:rsid w:val="009C37D5"/>
    <w:rsid w:val="009C3A47"/>
    <w:rsid w:val="009C3A5F"/>
    <w:rsid w:val="009C3DCC"/>
    <w:rsid w:val="009C5C59"/>
    <w:rsid w:val="009C7E08"/>
    <w:rsid w:val="009D21C4"/>
    <w:rsid w:val="009D38D4"/>
    <w:rsid w:val="009E1C59"/>
    <w:rsid w:val="009E3EA9"/>
    <w:rsid w:val="009E4C8D"/>
    <w:rsid w:val="009E6E37"/>
    <w:rsid w:val="009F1727"/>
    <w:rsid w:val="009F1DDD"/>
    <w:rsid w:val="009F61D2"/>
    <w:rsid w:val="00A013E6"/>
    <w:rsid w:val="00A0235F"/>
    <w:rsid w:val="00A03A5B"/>
    <w:rsid w:val="00A0428F"/>
    <w:rsid w:val="00A04324"/>
    <w:rsid w:val="00A04E51"/>
    <w:rsid w:val="00A0605B"/>
    <w:rsid w:val="00A065FC"/>
    <w:rsid w:val="00A06B43"/>
    <w:rsid w:val="00A116DC"/>
    <w:rsid w:val="00A118F6"/>
    <w:rsid w:val="00A11EE6"/>
    <w:rsid w:val="00A15FDF"/>
    <w:rsid w:val="00A207CA"/>
    <w:rsid w:val="00A23A24"/>
    <w:rsid w:val="00A24323"/>
    <w:rsid w:val="00A25D21"/>
    <w:rsid w:val="00A26DEB"/>
    <w:rsid w:val="00A3223D"/>
    <w:rsid w:val="00A326CE"/>
    <w:rsid w:val="00A33778"/>
    <w:rsid w:val="00A35428"/>
    <w:rsid w:val="00A354D6"/>
    <w:rsid w:val="00A35C6A"/>
    <w:rsid w:val="00A41A01"/>
    <w:rsid w:val="00A464D1"/>
    <w:rsid w:val="00A471E2"/>
    <w:rsid w:val="00A47C0E"/>
    <w:rsid w:val="00A47E81"/>
    <w:rsid w:val="00A5090D"/>
    <w:rsid w:val="00A52185"/>
    <w:rsid w:val="00A5332B"/>
    <w:rsid w:val="00A53F43"/>
    <w:rsid w:val="00A60315"/>
    <w:rsid w:val="00A61E64"/>
    <w:rsid w:val="00A6419E"/>
    <w:rsid w:val="00A67D22"/>
    <w:rsid w:val="00A72579"/>
    <w:rsid w:val="00A73812"/>
    <w:rsid w:val="00A73F7B"/>
    <w:rsid w:val="00A7437D"/>
    <w:rsid w:val="00A7549E"/>
    <w:rsid w:val="00A75B0E"/>
    <w:rsid w:val="00A77A4E"/>
    <w:rsid w:val="00A77BE2"/>
    <w:rsid w:val="00A81994"/>
    <w:rsid w:val="00A833BD"/>
    <w:rsid w:val="00A8465A"/>
    <w:rsid w:val="00A85E3F"/>
    <w:rsid w:val="00A86626"/>
    <w:rsid w:val="00A87488"/>
    <w:rsid w:val="00A91FDD"/>
    <w:rsid w:val="00A921E4"/>
    <w:rsid w:val="00A942A6"/>
    <w:rsid w:val="00A9462C"/>
    <w:rsid w:val="00A949BC"/>
    <w:rsid w:val="00A94B50"/>
    <w:rsid w:val="00A96BDF"/>
    <w:rsid w:val="00A9773F"/>
    <w:rsid w:val="00AA0D11"/>
    <w:rsid w:val="00AA374F"/>
    <w:rsid w:val="00AB00E0"/>
    <w:rsid w:val="00AB04C9"/>
    <w:rsid w:val="00AB1244"/>
    <w:rsid w:val="00AB2B23"/>
    <w:rsid w:val="00AB33D7"/>
    <w:rsid w:val="00AB3C53"/>
    <w:rsid w:val="00AB5DF3"/>
    <w:rsid w:val="00AB655A"/>
    <w:rsid w:val="00AB7573"/>
    <w:rsid w:val="00AC08FB"/>
    <w:rsid w:val="00AC102B"/>
    <w:rsid w:val="00AC2B66"/>
    <w:rsid w:val="00AC4BF6"/>
    <w:rsid w:val="00AC4C96"/>
    <w:rsid w:val="00AC54C2"/>
    <w:rsid w:val="00AD1013"/>
    <w:rsid w:val="00AD2E82"/>
    <w:rsid w:val="00AD7DED"/>
    <w:rsid w:val="00AE0D99"/>
    <w:rsid w:val="00AE27BC"/>
    <w:rsid w:val="00AE33D3"/>
    <w:rsid w:val="00AE389A"/>
    <w:rsid w:val="00AE6B91"/>
    <w:rsid w:val="00AE7C68"/>
    <w:rsid w:val="00AE7FE6"/>
    <w:rsid w:val="00AF0DF9"/>
    <w:rsid w:val="00AF19AE"/>
    <w:rsid w:val="00AF2507"/>
    <w:rsid w:val="00AF4A8C"/>
    <w:rsid w:val="00AF4A8F"/>
    <w:rsid w:val="00AF4F7A"/>
    <w:rsid w:val="00AF63BC"/>
    <w:rsid w:val="00AF75C2"/>
    <w:rsid w:val="00B0264E"/>
    <w:rsid w:val="00B03832"/>
    <w:rsid w:val="00B04481"/>
    <w:rsid w:val="00B046A4"/>
    <w:rsid w:val="00B0615C"/>
    <w:rsid w:val="00B0640A"/>
    <w:rsid w:val="00B06C64"/>
    <w:rsid w:val="00B07688"/>
    <w:rsid w:val="00B07845"/>
    <w:rsid w:val="00B116BC"/>
    <w:rsid w:val="00B1483D"/>
    <w:rsid w:val="00B15DFC"/>
    <w:rsid w:val="00B15F71"/>
    <w:rsid w:val="00B23CE0"/>
    <w:rsid w:val="00B2448E"/>
    <w:rsid w:val="00B25AA0"/>
    <w:rsid w:val="00B270D3"/>
    <w:rsid w:val="00B27E40"/>
    <w:rsid w:val="00B35309"/>
    <w:rsid w:val="00B35A48"/>
    <w:rsid w:val="00B40192"/>
    <w:rsid w:val="00B40CF5"/>
    <w:rsid w:val="00B40EDC"/>
    <w:rsid w:val="00B41CED"/>
    <w:rsid w:val="00B4210F"/>
    <w:rsid w:val="00B42846"/>
    <w:rsid w:val="00B4486E"/>
    <w:rsid w:val="00B44FEA"/>
    <w:rsid w:val="00B4583D"/>
    <w:rsid w:val="00B4713F"/>
    <w:rsid w:val="00B50B19"/>
    <w:rsid w:val="00B51DB8"/>
    <w:rsid w:val="00B53A1A"/>
    <w:rsid w:val="00B55E92"/>
    <w:rsid w:val="00B56D63"/>
    <w:rsid w:val="00B607EC"/>
    <w:rsid w:val="00B64FF0"/>
    <w:rsid w:val="00B67E50"/>
    <w:rsid w:val="00B70A69"/>
    <w:rsid w:val="00B7289C"/>
    <w:rsid w:val="00B72E97"/>
    <w:rsid w:val="00B741D6"/>
    <w:rsid w:val="00B74ACA"/>
    <w:rsid w:val="00B75945"/>
    <w:rsid w:val="00B75D96"/>
    <w:rsid w:val="00B8044A"/>
    <w:rsid w:val="00B80B5D"/>
    <w:rsid w:val="00B8240A"/>
    <w:rsid w:val="00B825EC"/>
    <w:rsid w:val="00B82EAE"/>
    <w:rsid w:val="00B84E61"/>
    <w:rsid w:val="00B8538F"/>
    <w:rsid w:val="00B86500"/>
    <w:rsid w:val="00B866EA"/>
    <w:rsid w:val="00B87319"/>
    <w:rsid w:val="00B87D91"/>
    <w:rsid w:val="00B90988"/>
    <w:rsid w:val="00B92FD4"/>
    <w:rsid w:val="00B936EF"/>
    <w:rsid w:val="00B93817"/>
    <w:rsid w:val="00B93BA6"/>
    <w:rsid w:val="00B94F1B"/>
    <w:rsid w:val="00B950D9"/>
    <w:rsid w:val="00B95192"/>
    <w:rsid w:val="00B95D89"/>
    <w:rsid w:val="00B966CE"/>
    <w:rsid w:val="00B9754C"/>
    <w:rsid w:val="00B97C9A"/>
    <w:rsid w:val="00BA1A00"/>
    <w:rsid w:val="00BA334F"/>
    <w:rsid w:val="00BA3D13"/>
    <w:rsid w:val="00BA4258"/>
    <w:rsid w:val="00BA7A68"/>
    <w:rsid w:val="00BB0476"/>
    <w:rsid w:val="00BB7298"/>
    <w:rsid w:val="00BB79D2"/>
    <w:rsid w:val="00BB7AA9"/>
    <w:rsid w:val="00BB7EFB"/>
    <w:rsid w:val="00BC1954"/>
    <w:rsid w:val="00BC19D3"/>
    <w:rsid w:val="00BC2E09"/>
    <w:rsid w:val="00BC372B"/>
    <w:rsid w:val="00BC4DB6"/>
    <w:rsid w:val="00BC6526"/>
    <w:rsid w:val="00BD10FF"/>
    <w:rsid w:val="00BD1B16"/>
    <w:rsid w:val="00BD36B8"/>
    <w:rsid w:val="00BD4A6A"/>
    <w:rsid w:val="00BD4CB2"/>
    <w:rsid w:val="00BD5796"/>
    <w:rsid w:val="00BD5AB4"/>
    <w:rsid w:val="00BD706B"/>
    <w:rsid w:val="00BD761B"/>
    <w:rsid w:val="00BE083F"/>
    <w:rsid w:val="00BE1524"/>
    <w:rsid w:val="00BE41CA"/>
    <w:rsid w:val="00BE62BD"/>
    <w:rsid w:val="00BF0DB8"/>
    <w:rsid w:val="00BF2093"/>
    <w:rsid w:val="00BF372C"/>
    <w:rsid w:val="00BF5368"/>
    <w:rsid w:val="00BF6974"/>
    <w:rsid w:val="00BF73D5"/>
    <w:rsid w:val="00C0378E"/>
    <w:rsid w:val="00C05850"/>
    <w:rsid w:val="00C072FE"/>
    <w:rsid w:val="00C07D7C"/>
    <w:rsid w:val="00C1127A"/>
    <w:rsid w:val="00C11B9E"/>
    <w:rsid w:val="00C1635E"/>
    <w:rsid w:val="00C17369"/>
    <w:rsid w:val="00C20C8A"/>
    <w:rsid w:val="00C21ED0"/>
    <w:rsid w:val="00C22B4C"/>
    <w:rsid w:val="00C23A10"/>
    <w:rsid w:val="00C2683F"/>
    <w:rsid w:val="00C3092D"/>
    <w:rsid w:val="00C30F7A"/>
    <w:rsid w:val="00C312A2"/>
    <w:rsid w:val="00C34D50"/>
    <w:rsid w:val="00C3555F"/>
    <w:rsid w:val="00C36623"/>
    <w:rsid w:val="00C410AA"/>
    <w:rsid w:val="00C41913"/>
    <w:rsid w:val="00C4193E"/>
    <w:rsid w:val="00C4635D"/>
    <w:rsid w:val="00C46FDF"/>
    <w:rsid w:val="00C476E7"/>
    <w:rsid w:val="00C500BC"/>
    <w:rsid w:val="00C50D76"/>
    <w:rsid w:val="00C51C98"/>
    <w:rsid w:val="00C52067"/>
    <w:rsid w:val="00C538B6"/>
    <w:rsid w:val="00C541BC"/>
    <w:rsid w:val="00C5627A"/>
    <w:rsid w:val="00C578D2"/>
    <w:rsid w:val="00C614EA"/>
    <w:rsid w:val="00C63390"/>
    <w:rsid w:val="00C657DA"/>
    <w:rsid w:val="00C668A6"/>
    <w:rsid w:val="00C67DBC"/>
    <w:rsid w:val="00C718A7"/>
    <w:rsid w:val="00C72007"/>
    <w:rsid w:val="00C73633"/>
    <w:rsid w:val="00C75145"/>
    <w:rsid w:val="00C76576"/>
    <w:rsid w:val="00C777B4"/>
    <w:rsid w:val="00C777C6"/>
    <w:rsid w:val="00C80199"/>
    <w:rsid w:val="00C80566"/>
    <w:rsid w:val="00C80707"/>
    <w:rsid w:val="00C838EF"/>
    <w:rsid w:val="00C859FD"/>
    <w:rsid w:val="00C875B1"/>
    <w:rsid w:val="00C87605"/>
    <w:rsid w:val="00C92902"/>
    <w:rsid w:val="00C93A41"/>
    <w:rsid w:val="00C94891"/>
    <w:rsid w:val="00C96171"/>
    <w:rsid w:val="00C96BBC"/>
    <w:rsid w:val="00CA3FB0"/>
    <w:rsid w:val="00CA5A9F"/>
    <w:rsid w:val="00CA6A43"/>
    <w:rsid w:val="00CA6C24"/>
    <w:rsid w:val="00CA6D5D"/>
    <w:rsid w:val="00CB0B4D"/>
    <w:rsid w:val="00CB1AB2"/>
    <w:rsid w:val="00CB21F6"/>
    <w:rsid w:val="00CB57CB"/>
    <w:rsid w:val="00CB57D3"/>
    <w:rsid w:val="00CB69D2"/>
    <w:rsid w:val="00CC0765"/>
    <w:rsid w:val="00CC0777"/>
    <w:rsid w:val="00CD0D52"/>
    <w:rsid w:val="00CD0FAD"/>
    <w:rsid w:val="00CD1665"/>
    <w:rsid w:val="00CD60C0"/>
    <w:rsid w:val="00CD6AE4"/>
    <w:rsid w:val="00CD7042"/>
    <w:rsid w:val="00CE0F15"/>
    <w:rsid w:val="00CE2498"/>
    <w:rsid w:val="00CE2F1B"/>
    <w:rsid w:val="00CE3420"/>
    <w:rsid w:val="00CE4CB5"/>
    <w:rsid w:val="00CE62E2"/>
    <w:rsid w:val="00CF4418"/>
    <w:rsid w:val="00CF480E"/>
    <w:rsid w:val="00CF6B65"/>
    <w:rsid w:val="00CF798D"/>
    <w:rsid w:val="00D00474"/>
    <w:rsid w:val="00D0053B"/>
    <w:rsid w:val="00D01F67"/>
    <w:rsid w:val="00D026A1"/>
    <w:rsid w:val="00D02958"/>
    <w:rsid w:val="00D0296B"/>
    <w:rsid w:val="00D042DD"/>
    <w:rsid w:val="00D051C8"/>
    <w:rsid w:val="00D0641C"/>
    <w:rsid w:val="00D07334"/>
    <w:rsid w:val="00D12264"/>
    <w:rsid w:val="00D12B57"/>
    <w:rsid w:val="00D217F6"/>
    <w:rsid w:val="00D21C9A"/>
    <w:rsid w:val="00D23760"/>
    <w:rsid w:val="00D24D50"/>
    <w:rsid w:val="00D25D55"/>
    <w:rsid w:val="00D26C34"/>
    <w:rsid w:val="00D2702A"/>
    <w:rsid w:val="00D27A36"/>
    <w:rsid w:val="00D27C1B"/>
    <w:rsid w:val="00D27E95"/>
    <w:rsid w:val="00D30C51"/>
    <w:rsid w:val="00D3132A"/>
    <w:rsid w:val="00D31A9B"/>
    <w:rsid w:val="00D34EBB"/>
    <w:rsid w:val="00D36266"/>
    <w:rsid w:val="00D3665A"/>
    <w:rsid w:val="00D3727A"/>
    <w:rsid w:val="00D41FB2"/>
    <w:rsid w:val="00D41FFD"/>
    <w:rsid w:val="00D42DC8"/>
    <w:rsid w:val="00D4367C"/>
    <w:rsid w:val="00D47007"/>
    <w:rsid w:val="00D4711D"/>
    <w:rsid w:val="00D47E82"/>
    <w:rsid w:val="00D5105F"/>
    <w:rsid w:val="00D521B1"/>
    <w:rsid w:val="00D55D5F"/>
    <w:rsid w:val="00D56DA0"/>
    <w:rsid w:val="00D62B78"/>
    <w:rsid w:val="00D64D0F"/>
    <w:rsid w:val="00D65DEE"/>
    <w:rsid w:val="00D67728"/>
    <w:rsid w:val="00D70B1D"/>
    <w:rsid w:val="00D72FA7"/>
    <w:rsid w:val="00D75761"/>
    <w:rsid w:val="00D76380"/>
    <w:rsid w:val="00D8055E"/>
    <w:rsid w:val="00D82A1E"/>
    <w:rsid w:val="00D8329F"/>
    <w:rsid w:val="00D85079"/>
    <w:rsid w:val="00D90EEA"/>
    <w:rsid w:val="00D92A88"/>
    <w:rsid w:val="00D92F93"/>
    <w:rsid w:val="00D932EC"/>
    <w:rsid w:val="00D95C53"/>
    <w:rsid w:val="00D97241"/>
    <w:rsid w:val="00DA1311"/>
    <w:rsid w:val="00DA13AC"/>
    <w:rsid w:val="00DA2362"/>
    <w:rsid w:val="00DA4E74"/>
    <w:rsid w:val="00DA5AF8"/>
    <w:rsid w:val="00DA62A9"/>
    <w:rsid w:val="00DB443E"/>
    <w:rsid w:val="00DB54BF"/>
    <w:rsid w:val="00DB6406"/>
    <w:rsid w:val="00DC0A6C"/>
    <w:rsid w:val="00DC0F92"/>
    <w:rsid w:val="00DC22C2"/>
    <w:rsid w:val="00DC2E7D"/>
    <w:rsid w:val="00DC557B"/>
    <w:rsid w:val="00DC5839"/>
    <w:rsid w:val="00DC775D"/>
    <w:rsid w:val="00DD0710"/>
    <w:rsid w:val="00DD084B"/>
    <w:rsid w:val="00DD0D47"/>
    <w:rsid w:val="00DD2161"/>
    <w:rsid w:val="00DD30DD"/>
    <w:rsid w:val="00DD3EFF"/>
    <w:rsid w:val="00DD437F"/>
    <w:rsid w:val="00DD4DC8"/>
    <w:rsid w:val="00DD4F80"/>
    <w:rsid w:val="00DE0487"/>
    <w:rsid w:val="00DE1C13"/>
    <w:rsid w:val="00DE3822"/>
    <w:rsid w:val="00DE3DA1"/>
    <w:rsid w:val="00DE5809"/>
    <w:rsid w:val="00DE6CDD"/>
    <w:rsid w:val="00DE6E3A"/>
    <w:rsid w:val="00DE6FAD"/>
    <w:rsid w:val="00DE7A63"/>
    <w:rsid w:val="00DF15C6"/>
    <w:rsid w:val="00DF2046"/>
    <w:rsid w:val="00DF32A8"/>
    <w:rsid w:val="00DF4159"/>
    <w:rsid w:val="00DF5375"/>
    <w:rsid w:val="00DF6257"/>
    <w:rsid w:val="00E0119C"/>
    <w:rsid w:val="00E033BD"/>
    <w:rsid w:val="00E04911"/>
    <w:rsid w:val="00E05CAA"/>
    <w:rsid w:val="00E06EFE"/>
    <w:rsid w:val="00E10DB2"/>
    <w:rsid w:val="00E1173A"/>
    <w:rsid w:val="00E120A4"/>
    <w:rsid w:val="00E13317"/>
    <w:rsid w:val="00E13894"/>
    <w:rsid w:val="00E146E3"/>
    <w:rsid w:val="00E20894"/>
    <w:rsid w:val="00E21DC8"/>
    <w:rsid w:val="00E238E2"/>
    <w:rsid w:val="00E2421D"/>
    <w:rsid w:val="00E24F5A"/>
    <w:rsid w:val="00E2561D"/>
    <w:rsid w:val="00E2587E"/>
    <w:rsid w:val="00E25EA5"/>
    <w:rsid w:val="00E2672E"/>
    <w:rsid w:val="00E30FC6"/>
    <w:rsid w:val="00E315B2"/>
    <w:rsid w:val="00E32741"/>
    <w:rsid w:val="00E33F7C"/>
    <w:rsid w:val="00E34410"/>
    <w:rsid w:val="00E40A83"/>
    <w:rsid w:val="00E40D17"/>
    <w:rsid w:val="00E47FE8"/>
    <w:rsid w:val="00E5102B"/>
    <w:rsid w:val="00E51032"/>
    <w:rsid w:val="00E51AAC"/>
    <w:rsid w:val="00E52CAD"/>
    <w:rsid w:val="00E54287"/>
    <w:rsid w:val="00E55531"/>
    <w:rsid w:val="00E56609"/>
    <w:rsid w:val="00E601D4"/>
    <w:rsid w:val="00E609D0"/>
    <w:rsid w:val="00E6213F"/>
    <w:rsid w:val="00E63699"/>
    <w:rsid w:val="00E64151"/>
    <w:rsid w:val="00E65EEC"/>
    <w:rsid w:val="00E668AB"/>
    <w:rsid w:val="00E669E7"/>
    <w:rsid w:val="00E67A2D"/>
    <w:rsid w:val="00E700F6"/>
    <w:rsid w:val="00E71F00"/>
    <w:rsid w:val="00E73C7F"/>
    <w:rsid w:val="00E7593F"/>
    <w:rsid w:val="00E77E61"/>
    <w:rsid w:val="00E77EF9"/>
    <w:rsid w:val="00E8087C"/>
    <w:rsid w:val="00E82E2D"/>
    <w:rsid w:val="00E83709"/>
    <w:rsid w:val="00E8604F"/>
    <w:rsid w:val="00E864CB"/>
    <w:rsid w:val="00E901F6"/>
    <w:rsid w:val="00E91C55"/>
    <w:rsid w:val="00E92DE8"/>
    <w:rsid w:val="00E931AB"/>
    <w:rsid w:val="00E947FB"/>
    <w:rsid w:val="00E948D8"/>
    <w:rsid w:val="00E95DD0"/>
    <w:rsid w:val="00E962B7"/>
    <w:rsid w:val="00E96FD7"/>
    <w:rsid w:val="00E97A80"/>
    <w:rsid w:val="00EA6F02"/>
    <w:rsid w:val="00EA7A8E"/>
    <w:rsid w:val="00EB06F0"/>
    <w:rsid w:val="00EB0856"/>
    <w:rsid w:val="00EB0F14"/>
    <w:rsid w:val="00EB1AAE"/>
    <w:rsid w:val="00EB5C45"/>
    <w:rsid w:val="00EC0288"/>
    <w:rsid w:val="00EC0FB6"/>
    <w:rsid w:val="00EC208B"/>
    <w:rsid w:val="00EC454A"/>
    <w:rsid w:val="00EC4A1A"/>
    <w:rsid w:val="00EC4CBC"/>
    <w:rsid w:val="00EC63ED"/>
    <w:rsid w:val="00EC6F8A"/>
    <w:rsid w:val="00ED29EA"/>
    <w:rsid w:val="00ED529E"/>
    <w:rsid w:val="00ED5AEB"/>
    <w:rsid w:val="00ED68A4"/>
    <w:rsid w:val="00ED6E12"/>
    <w:rsid w:val="00ED7951"/>
    <w:rsid w:val="00EE0A04"/>
    <w:rsid w:val="00EE14EE"/>
    <w:rsid w:val="00EE2CFC"/>
    <w:rsid w:val="00EE34D0"/>
    <w:rsid w:val="00EE4414"/>
    <w:rsid w:val="00EE4D82"/>
    <w:rsid w:val="00EE5C48"/>
    <w:rsid w:val="00EE5FFF"/>
    <w:rsid w:val="00EE72FD"/>
    <w:rsid w:val="00EE7310"/>
    <w:rsid w:val="00EE75E2"/>
    <w:rsid w:val="00EF0717"/>
    <w:rsid w:val="00EF304B"/>
    <w:rsid w:val="00EF386C"/>
    <w:rsid w:val="00EF52F0"/>
    <w:rsid w:val="00EF59B5"/>
    <w:rsid w:val="00F01648"/>
    <w:rsid w:val="00F02D59"/>
    <w:rsid w:val="00F039CD"/>
    <w:rsid w:val="00F0456E"/>
    <w:rsid w:val="00F04DE6"/>
    <w:rsid w:val="00F054F9"/>
    <w:rsid w:val="00F06FE5"/>
    <w:rsid w:val="00F120BE"/>
    <w:rsid w:val="00F121FA"/>
    <w:rsid w:val="00F1259F"/>
    <w:rsid w:val="00F12661"/>
    <w:rsid w:val="00F15F7F"/>
    <w:rsid w:val="00F20D9A"/>
    <w:rsid w:val="00F2199D"/>
    <w:rsid w:val="00F2376C"/>
    <w:rsid w:val="00F24135"/>
    <w:rsid w:val="00F26C22"/>
    <w:rsid w:val="00F31B57"/>
    <w:rsid w:val="00F31EC9"/>
    <w:rsid w:val="00F32570"/>
    <w:rsid w:val="00F325BE"/>
    <w:rsid w:val="00F33FCA"/>
    <w:rsid w:val="00F35A94"/>
    <w:rsid w:val="00F372F6"/>
    <w:rsid w:val="00F403E7"/>
    <w:rsid w:val="00F42956"/>
    <w:rsid w:val="00F42C3B"/>
    <w:rsid w:val="00F461A1"/>
    <w:rsid w:val="00F501A5"/>
    <w:rsid w:val="00F53EE5"/>
    <w:rsid w:val="00F54164"/>
    <w:rsid w:val="00F54228"/>
    <w:rsid w:val="00F61EAD"/>
    <w:rsid w:val="00F62BA2"/>
    <w:rsid w:val="00F62F21"/>
    <w:rsid w:val="00F63BE9"/>
    <w:rsid w:val="00F64001"/>
    <w:rsid w:val="00F65349"/>
    <w:rsid w:val="00F671E4"/>
    <w:rsid w:val="00F67453"/>
    <w:rsid w:val="00F7017C"/>
    <w:rsid w:val="00F70A82"/>
    <w:rsid w:val="00F72359"/>
    <w:rsid w:val="00F72A2E"/>
    <w:rsid w:val="00F73F34"/>
    <w:rsid w:val="00F753DF"/>
    <w:rsid w:val="00F75AE6"/>
    <w:rsid w:val="00F77550"/>
    <w:rsid w:val="00F7774B"/>
    <w:rsid w:val="00F80744"/>
    <w:rsid w:val="00F8142A"/>
    <w:rsid w:val="00F82D7E"/>
    <w:rsid w:val="00F85D93"/>
    <w:rsid w:val="00F8655C"/>
    <w:rsid w:val="00F869D7"/>
    <w:rsid w:val="00F934F8"/>
    <w:rsid w:val="00F93F78"/>
    <w:rsid w:val="00F9418C"/>
    <w:rsid w:val="00F97BE6"/>
    <w:rsid w:val="00FA1FDF"/>
    <w:rsid w:val="00FA3536"/>
    <w:rsid w:val="00FA3AA2"/>
    <w:rsid w:val="00FA4950"/>
    <w:rsid w:val="00FA5036"/>
    <w:rsid w:val="00FA545F"/>
    <w:rsid w:val="00FA5F6F"/>
    <w:rsid w:val="00FA789D"/>
    <w:rsid w:val="00FB1330"/>
    <w:rsid w:val="00FB139D"/>
    <w:rsid w:val="00FB1529"/>
    <w:rsid w:val="00FB3190"/>
    <w:rsid w:val="00FB31F8"/>
    <w:rsid w:val="00FB3C61"/>
    <w:rsid w:val="00FB54B2"/>
    <w:rsid w:val="00FB5A26"/>
    <w:rsid w:val="00FB5E32"/>
    <w:rsid w:val="00FC0A30"/>
    <w:rsid w:val="00FC176C"/>
    <w:rsid w:val="00FC2195"/>
    <w:rsid w:val="00FC2781"/>
    <w:rsid w:val="00FC3AEF"/>
    <w:rsid w:val="00FC40A3"/>
    <w:rsid w:val="00FC4D5A"/>
    <w:rsid w:val="00FC6355"/>
    <w:rsid w:val="00FC6D8C"/>
    <w:rsid w:val="00FC7B58"/>
    <w:rsid w:val="00FC7C05"/>
    <w:rsid w:val="00FC7DBF"/>
    <w:rsid w:val="00FE1A9D"/>
    <w:rsid w:val="00FE1E4E"/>
    <w:rsid w:val="00FE1F90"/>
    <w:rsid w:val="00FE20F3"/>
    <w:rsid w:val="00FE23D2"/>
    <w:rsid w:val="00FE3333"/>
    <w:rsid w:val="00FE57A8"/>
    <w:rsid w:val="00FE6678"/>
    <w:rsid w:val="00FF0EF8"/>
    <w:rsid w:val="00FF24E4"/>
    <w:rsid w:val="00FF2B8B"/>
    <w:rsid w:val="00FF3B57"/>
    <w:rsid w:val="00FF3C4C"/>
    <w:rsid w:val="00FF7138"/>
    <w:rsid w:val="0B043062"/>
    <w:rsid w:val="27EAC605"/>
    <w:rsid w:val="2D9466C2"/>
    <w:rsid w:val="3C56A9F1"/>
    <w:rsid w:val="6CEE9BD2"/>
    <w:rsid w:val="715A924E"/>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195"/>
  <w15:docId w15:val="{BD82662A-B3B8-4774-A0EA-81A0FDB8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 w:type="paragraph" w:styleId="BodyText3">
    <w:name w:val="Body Text 3"/>
    <w:basedOn w:val="Normal"/>
    <w:link w:val="BodyText3Char"/>
    <w:uiPriority w:val="99"/>
    <w:unhideWhenUsed/>
    <w:rsid w:val="004972BE"/>
    <w:pPr>
      <w:spacing w:after="120"/>
    </w:pPr>
    <w:rPr>
      <w:sz w:val="16"/>
      <w:szCs w:val="16"/>
    </w:rPr>
  </w:style>
  <w:style w:type="character" w:customStyle="1" w:styleId="BodyText3Char">
    <w:name w:val="Body Text 3 Char"/>
    <w:basedOn w:val="DefaultParagraphFont"/>
    <w:link w:val="BodyText3"/>
    <w:uiPriority w:val="99"/>
    <w:rsid w:val="004972BE"/>
    <w:rPr>
      <w:rFonts w:ascii="Calibri" w:eastAsiaTheme="minorEastAsia" w:hAnsi="Calibri" w:cs="Calibri"/>
      <w:sz w:val="16"/>
      <w:szCs w:val="16"/>
    </w:rPr>
  </w:style>
  <w:style w:type="paragraph" w:customStyle="1" w:styleId="paragraph">
    <w:name w:val="paragraph"/>
    <w:basedOn w:val="Normal"/>
    <w:rsid w:val="00A91FD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1FDD"/>
  </w:style>
  <w:style w:type="character" w:customStyle="1" w:styleId="eop">
    <w:name w:val="eop"/>
    <w:basedOn w:val="DefaultParagraphFont"/>
    <w:rsid w:val="00A91FDD"/>
  </w:style>
  <w:style w:type="character" w:customStyle="1" w:styleId="bumpedfont20">
    <w:name w:val="bumpedfont20"/>
    <w:basedOn w:val="DefaultParagraphFont"/>
    <w:rsid w:val="0038099C"/>
  </w:style>
  <w:style w:type="paragraph" w:customStyle="1" w:styleId="s10">
    <w:name w:val="s10"/>
    <w:basedOn w:val="Normal"/>
    <w:uiPriority w:val="99"/>
    <w:semiHidden/>
    <w:rsid w:val="00364D03"/>
    <w:pPr>
      <w:widowControl/>
      <w:spacing w:before="100" w:beforeAutospacing="1" w:after="100" w:afterAutospacing="1" w:line="240" w:lineRule="auto"/>
    </w:pPr>
    <w:rPr>
      <w:rFonts w:eastAsiaTheme="minorHAnsi"/>
    </w:rPr>
  </w:style>
  <w:style w:type="paragraph" w:styleId="BodyText2">
    <w:name w:val="Body Text 2"/>
    <w:basedOn w:val="Normal"/>
    <w:link w:val="BodyText2Char"/>
    <w:uiPriority w:val="99"/>
    <w:unhideWhenUsed/>
    <w:rsid w:val="00DA62A9"/>
    <w:pPr>
      <w:spacing w:after="120" w:line="480" w:lineRule="auto"/>
    </w:pPr>
  </w:style>
  <w:style w:type="character" w:customStyle="1" w:styleId="BodyText2Char">
    <w:name w:val="Body Text 2 Char"/>
    <w:basedOn w:val="DefaultParagraphFont"/>
    <w:link w:val="BodyText2"/>
    <w:uiPriority w:val="99"/>
    <w:rsid w:val="00DA62A9"/>
    <w:rPr>
      <w:rFonts w:ascii="Calibri" w:eastAsiaTheme="minorEastAsia" w:hAnsi="Calibri" w:cs="Calibri"/>
    </w:rPr>
  </w:style>
  <w:style w:type="paragraph" w:customStyle="1" w:styleId="p1">
    <w:name w:val="p1"/>
    <w:basedOn w:val="Normal"/>
    <w:rsid w:val="00A7549E"/>
    <w:pPr>
      <w:widowControl/>
      <w:spacing w:before="100" w:beforeAutospacing="1" w:after="100" w:afterAutospacing="1" w:line="240" w:lineRule="auto"/>
    </w:pPr>
    <w:rPr>
      <w:rFonts w:eastAsiaTheme="minorHAnsi"/>
    </w:rPr>
  </w:style>
  <w:style w:type="character" w:customStyle="1" w:styleId="s1">
    <w:name w:val="s1"/>
    <w:basedOn w:val="DefaultParagraphFont"/>
    <w:rsid w:val="00A7549E"/>
  </w:style>
  <w:style w:type="character" w:customStyle="1" w:styleId="s2">
    <w:name w:val="s2"/>
    <w:basedOn w:val="DefaultParagraphFont"/>
    <w:rsid w:val="00A7549E"/>
  </w:style>
  <w:style w:type="table" w:styleId="PlainTable1">
    <w:name w:val="Plain Table 1"/>
    <w:basedOn w:val="TableNormal"/>
    <w:uiPriority w:val="41"/>
    <w:rsid w:val="000D09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864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3207">
      <w:bodyDiv w:val="1"/>
      <w:marLeft w:val="0"/>
      <w:marRight w:val="0"/>
      <w:marTop w:val="0"/>
      <w:marBottom w:val="0"/>
      <w:divBdr>
        <w:top w:val="none" w:sz="0" w:space="0" w:color="auto"/>
        <w:left w:val="none" w:sz="0" w:space="0" w:color="auto"/>
        <w:bottom w:val="none" w:sz="0" w:space="0" w:color="auto"/>
        <w:right w:val="none" w:sz="0" w:space="0" w:color="auto"/>
      </w:divBdr>
      <w:divsChild>
        <w:div w:id="106891269">
          <w:marLeft w:val="0"/>
          <w:marRight w:val="0"/>
          <w:marTop w:val="0"/>
          <w:marBottom w:val="0"/>
          <w:divBdr>
            <w:top w:val="none" w:sz="0" w:space="0" w:color="auto"/>
            <w:left w:val="none" w:sz="0" w:space="0" w:color="auto"/>
            <w:bottom w:val="none" w:sz="0" w:space="0" w:color="auto"/>
            <w:right w:val="none" w:sz="0" w:space="0" w:color="auto"/>
          </w:divBdr>
        </w:div>
        <w:div w:id="218252317">
          <w:marLeft w:val="0"/>
          <w:marRight w:val="0"/>
          <w:marTop w:val="0"/>
          <w:marBottom w:val="0"/>
          <w:divBdr>
            <w:top w:val="none" w:sz="0" w:space="0" w:color="auto"/>
            <w:left w:val="none" w:sz="0" w:space="0" w:color="auto"/>
            <w:bottom w:val="none" w:sz="0" w:space="0" w:color="auto"/>
            <w:right w:val="none" w:sz="0" w:space="0" w:color="auto"/>
          </w:divBdr>
        </w:div>
        <w:div w:id="536701623">
          <w:marLeft w:val="0"/>
          <w:marRight w:val="0"/>
          <w:marTop w:val="0"/>
          <w:marBottom w:val="0"/>
          <w:divBdr>
            <w:top w:val="none" w:sz="0" w:space="0" w:color="auto"/>
            <w:left w:val="none" w:sz="0" w:space="0" w:color="auto"/>
            <w:bottom w:val="none" w:sz="0" w:space="0" w:color="auto"/>
            <w:right w:val="none" w:sz="0" w:space="0" w:color="auto"/>
          </w:divBdr>
        </w:div>
        <w:div w:id="818765601">
          <w:marLeft w:val="0"/>
          <w:marRight w:val="0"/>
          <w:marTop w:val="0"/>
          <w:marBottom w:val="0"/>
          <w:divBdr>
            <w:top w:val="none" w:sz="0" w:space="0" w:color="auto"/>
            <w:left w:val="none" w:sz="0" w:space="0" w:color="auto"/>
            <w:bottom w:val="none" w:sz="0" w:space="0" w:color="auto"/>
            <w:right w:val="none" w:sz="0" w:space="0" w:color="auto"/>
          </w:divBdr>
        </w:div>
        <w:div w:id="1534079920">
          <w:marLeft w:val="0"/>
          <w:marRight w:val="0"/>
          <w:marTop w:val="0"/>
          <w:marBottom w:val="0"/>
          <w:divBdr>
            <w:top w:val="none" w:sz="0" w:space="0" w:color="auto"/>
            <w:left w:val="none" w:sz="0" w:space="0" w:color="auto"/>
            <w:bottom w:val="none" w:sz="0" w:space="0" w:color="auto"/>
            <w:right w:val="none" w:sz="0" w:space="0" w:color="auto"/>
          </w:divBdr>
        </w:div>
        <w:div w:id="1565291661">
          <w:marLeft w:val="0"/>
          <w:marRight w:val="0"/>
          <w:marTop w:val="0"/>
          <w:marBottom w:val="0"/>
          <w:divBdr>
            <w:top w:val="none" w:sz="0" w:space="0" w:color="auto"/>
            <w:left w:val="none" w:sz="0" w:space="0" w:color="auto"/>
            <w:bottom w:val="none" w:sz="0" w:space="0" w:color="auto"/>
            <w:right w:val="none" w:sz="0" w:space="0" w:color="auto"/>
          </w:divBdr>
        </w:div>
        <w:div w:id="1786970131">
          <w:marLeft w:val="0"/>
          <w:marRight w:val="0"/>
          <w:marTop w:val="0"/>
          <w:marBottom w:val="0"/>
          <w:divBdr>
            <w:top w:val="none" w:sz="0" w:space="0" w:color="auto"/>
            <w:left w:val="none" w:sz="0" w:space="0" w:color="auto"/>
            <w:bottom w:val="none" w:sz="0" w:space="0" w:color="auto"/>
            <w:right w:val="none" w:sz="0" w:space="0" w:color="auto"/>
          </w:divBdr>
        </w:div>
        <w:div w:id="2078628066">
          <w:marLeft w:val="0"/>
          <w:marRight w:val="0"/>
          <w:marTop w:val="0"/>
          <w:marBottom w:val="0"/>
          <w:divBdr>
            <w:top w:val="none" w:sz="0" w:space="0" w:color="auto"/>
            <w:left w:val="none" w:sz="0" w:space="0" w:color="auto"/>
            <w:bottom w:val="none" w:sz="0" w:space="0" w:color="auto"/>
            <w:right w:val="none" w:sz="0" w:space="0" w:color="auto"/>
          </w:divBdr>
        </w:div>
      </w:divsChild>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28172254">
      <w:bodyDiv w:val="1"/>
      <w:marLeft w:val="0"/>
      <w:marRight w:val="0"/>
      <w:marTop w:val="0"/>
      <w:marBottom w:val="0"/>
      <w:divBdr>
        <w:top w:val="none" w:sz="0" w:space="0" w:color="auto"/>
        <w:left w:val="none" w:sz="0" w:space="0" w:color="auto"/>
        <w:bottom w:val="none" w:sz="0" w:space="0" w:color="auto"/>
        <w:right w:val="none" w:sz="0" w:space="0" w:color="auto"/>
      </w:divBdr>
      <w:divsChild>
        <w:div w:id="374162154">
          <w:marLeft w:val="0"/>
          <w:marRight w:val="0"/>
          <w:marTop w:val="0"/>
          <w:marBottom w:val="0"/>
          <w:divBdr>
            <w:top w:val="none" w:sz="0" w:space="0" w:color="auto"/>
            <w:left w:val="none" w:sz="0" w:space="0" w:color="auto"/>
            <w:bottom w:val="none" w:sz="0" w:space="0" w:color="auto"/>
            <w:right w:val="none" w:sz="0" w:space="0" w:color="auto"/>
          </w:divBdr>
          <w:divsChild>
            <w:div w:id="547381634">
              <w:marLeft w:val="0"/>
              <w:marRight w:val="0"/>
              <w:marTop w:val="0"/>
              <w:marBottom w:val="0"/>
              <w:divBdr>
                <w:top w:val="none" w:sz="0" w:space="0" w:color="auto"/>
                <w:left w:val="none" w:sz="0" w:space="0" w:color="auto"/>
                <w:bottom w:val="none" w:sz="0" w:space="0" w:color="auto"/>
                <w:right w:val="none" w:sz="0" w:space="0" w:color="auto"/>
              </w:divBdr>
            </w:div>
            <w:div w:id="677924466">
              <w:marLeft w:val="0"/>
              <w:marRight w:val="0"/>
              <w:marTop w:val="0"/>
              <w:marBottom w:val="0"/>
              <w:divBdr>
                <w:top w:val="none" w:sz="0" w:space="0" w:color="auto"/>
                <w:left w:val="none" w:sz="0" w:space="0" w:color="auto"/>
                <w:bottom w:val="none" w:sz="0" w:space="0" w:color="auto"/>
                <w:right w:val="none" w:sz="0" w:space="0" w:color="auto"/>
              </w:divBdr>
            </w:div>
            <w:div w:id="880555492">
              <w:marLeft w:val="0"/>
              <w:marRight w:val="0"/>
              <w:marTop w:val="0"/>
              <w:marBottom w:val="0"/>
              <w:divBdr>
                <w:top w:val="none" w:sz="0" w:space="0" w:color="auto"/>
                <w:left w:val="none" w:sz="0" w:space="0" w:color="auto"/>
                <w:bottom w:val="none" w:sz="0" w:space="0" w:color="auto"/>
                <w:right w:val="none" w:sz="0" w:space="0" w:color="auto"/>
              </w:divBdr>
            </w:div>
            <w:div w:id="1866019744">
              <w:marLeft w:val="0"/>
              <w:marRight w:val="0"/>
              <w:marTop w:val="0"/>
              <w:marBottom w:val="0"/>
              <w:divBdr>
                <w:top w:val="none" w:sz="0" w:space="0" w:color="auto"/>
                <w:left w:val="none" w:sz="0" w:space="0" w:color="auto"/>
                <w:bottom w:val="none" w:sz="0" w:space="0" w:color="auto"/>
                <w:right w:val="none" w:sz="0" w:space="0" w:color="auto"/>
              </w:divBdr>
            </w:div>
            <w:div w:id="2100982559">
              <w:marLeft w:val="0"/>
              <w:marRight w:val="0"/>
              <w:marTop w:val="0"/>
              <w:marBottom w:val="0"/>
              <w:divBdr>
                <w:top w:val="none" w:sz="0" w:space="0" w:color="auto"/>
                <w:left w:val="none" w:sz="0" w:space="0" w:color="auto"/>
                <w:bottom w:val="none" w:sz="0" w:space="0" w:color="auto"/>
                <w:right w:val="none" w:sz="0" w:space="0" w:color="auto"/>
              </w:divBdr>
            </w:div>
          </w:divsChild>
        </w:div>
        <w:div w:id="1814132875">
          <w:marLeft w:val="0"/>
          <w:marRight w:val="0"/>
          <w:marTop w:val="0"/>
          <w:marBottom w:val="0"/>
          <w:divBdr>
            <w:top w:val="none" w:sz="0" w:space="0" w:color="auto"/>
            <w:left w:val="none" w:sz="0" w:space="0" w:color="auto"/>
            <w:bottom w:val="none" w:sz="0" w:space="0" w:color="auto"/>
            <w:right w:val="none" w:sz="0" w:space="0" w:color="auto"/>
          </w:divBdr>
          <w:divsChild>
            <w:div w:id="454716418">
              <w:marLeft w:val="0"/>
              <w:marRight w:val="0"/>
              <w:marTop w:val="0"/>
              <w:marBottom w:val="0"/>
              <w:divBdr>
                <w:top w:val="none" w:sz="0" w:space="0" w:color="auto"/>
                <w:left w:val="none" w:sz="0" w:space="0" w:color="auto"/>
                <w:bottom w:val="none" w:sz="0" w:space="0" w:color="auto"/>
                <w:right w:val="none" w:sz="0" w:space="0" w:color="auto"/>
              </w:divBdr>
            </w:div>
            <w:div w:id="647439520">
              <w:marLeft w:val="0"/>
              <w:marRight w:val="0"/>
              <w:marTop w:val="0"/>
              <w:marBottom w:val="0"/>
              <w:divBdr>
                <w:top w:val="none" w:sz="0" w:space="0" w:color="auto"/>
                <w:left w:val="none" w:sz="0" w:space="0" w:color="auto"/>
                <w:bottom w:val="none" w:sz="0" w:space="0" w:color="auto"/>
                <w:right w:val="none" w:sz="0" w:space="0" w:color="auto"/>
              </w:divBdr>
            </w:div>
            <w:div w:id="1406025233">
              <w:marLeft w:val="0"/>
              <w:marRight w:val="0"/>
              <w:marTop w:val="0"/>
              <w:marBottom w:val="0"/>
              <w:divBdr>
                <w:top w:val="none" w:sz="0" w:space="0" w:color="auto"/>
                <w:left w:val="none" w:sz="0" w:space="0" w:color="auto"/>
                <w:bottom w:val="none" w:sz="0" w:space="0" w:color="auto"/>
                <w:right w:val="none" w:sz="0" w:space="0" w:color="auto"/>
              </w:divBdr>
            </w:div>
            <w:div w:id="1721048766">
              <w:marLeft w:val="0"/>
              <w:marRight w:val="0"/>
              <w:marTop w:val="0"/>
              <w:marBottom w:val="0"/>
              <w:divBdr>
                <w:top w:val="none" w:sz="0" w:space="0" w:color="auto"/>
                <w:left w:val="none" w:sz="0" w:space="0" w:color="auto"/>
                <w:bottom w:val="none" w:sz="0" w:space="0" w:color="auto"/>
                <w:right w:val="none" w:sz="0" w:space="0" w:color="auto"/>
              </w:divBdr>
            </w:div>
            <w:div w:id="1777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7628">
      <w:bodyDiv w:val="1"/>
      <w:marLeft w:val="0"/>
      <w:marRight w:val="0"/>
      <w:marTop w:val="0"/>
      <w:marBottom w:val="0"/>
      <w:divBdr>
        <w:top w:val="none" w:sz="0" w:space="0" w:color="auto"/>
        <w:left w:val="none" w:sz="0" w:space="0" w:color="auto"/>
        <w:bottom w:val="none" w:sz="0" w:space="0" w:color="auto"/>
        <w:right w:val="none" w:sz="0" w:space="0" w:color="auto"/>
      </w:divBdr>
      <w:divsChild>
        <w:div w:id="1122305276">
          <w:marLeft w:val="0"/>
          <w:marRight w:val="0"/>
          <w:marTop w:val="0"/>
          <w:marBottom w:val="0"/>
          <w:divBdr>
            <w:top w:val="none" w:sz="0" w:space="0" w:color="auto"/>
            <w:left w:val="none" w:sz="0" w:space="0" w:color="auto"/>
            <w:bottom w:val="none" w:sz="0" w:space="0" w:color="auto"/>
            <w:right w:val="none" w:sz="0" w:space="0" w:color="auto"/>
          </w:divBdr>
        </w:div>
        <w:div w:id="1292055420">
          <w:marLeft w:val="0"/>
          <w:marRight w:val="0"/>
          <w:marTop w:val="0"/>
          <w:marBottom w:val="0"/>
          <w:divBdr>
            <w:top w:val="none" w:sz="0" w:space="0" w:color="auto"/>
            <w:left w:val="none" w:sz="0" w:space="0" w:color="auto"/>
            <w:bottom w:val="none" w:sz="0" w:space="0" w:color="auto"/>
            <w:right w:val="none" w:sz="0" w:space="0" w:color="auto"/>
          </w:divBdr>
        </w:div>
        <w:div w:id="1751585378">
          <w:marLeft w:val="0"/>
          <w:marRight w:val="0"/>
          <w:marTop w:val="0"/>
          <w:marBottom w:val="0"/>
          <w:divBdr>
            <w:top w:val="none" w:sz="0" w:space="0" w:color="auto"/>
            <w:left w:val="none" w:sz="0" w:space="0" w:color="auto"/>
            <w:bottom w:val="none" w:sz="0" w:space="0" w:color="auto"/>
            <w:right w:val="none" w:sz="0" w:space="0" w:color="auto"/>
          </w:divBdr>
        </w:div>
        <w:div w:id="1850483630">
          <w:marLeft w:val="0"/>
          <w:marRight w:val="0"/>
          <w:marTop w:val="0"/>
          <w:marBottom w:val="0"/>
          <w:divBdr>
            <w:top w:val="none" w:sz="0" w:space="0" w:color="auto"/>
            <w:left w:val="none" w:sz="0" w:space="0" w:color="auto"/>
            <w:bottom w:val="none" w:sz="0" w:space="0" w:color="auto"/>
            <w:right w:val="none" w:sz="0" w:space="0" w:color="auto"/>
          </w:divBdr>
        </w:div>
      </w:divsChild>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457066306">
      <w:bodyDiv w:val="1"/>
      <w:marLeft w:val="0"/>
      <w:marRight w:val="0"/>
      <w:marTop w:val="0"/>
      <w:marBottom w:val="0"/>
      <w:divBdr>
        <w:top w:val="none" w:sz="0" w:space="0" w:color="auto"/>
        <w:left w:val="none" w:sz="0" w:space="0" w:color="auto"/>
        <w:bottom w:val="none" w:sz="0" w:space="0" w:color="auto"/>
        <w:right w:val="none" w:sz="0" w:space="0" w:color="auto"/>
      </w:divBdr>
      <w:divsChild>
        <w:div w:id="1380209345">
          <w:marLeft w:val="0"/>
          <w:marRight w:val="0"/>
          <w:marTop w:val="0"/>
          <w:marBottom w:val="0"/>
          <w:divBdr>
            <w:top w:val="none" w:sz="0" w:space="0" w:color="auto"/>
            <w:left w:val="none" w:sz="0" w:space="0" w:color="auto"/>
            <w:bottom w:val="none" w:sz="0" w:space="0" w:color="auto"/>
            <w:right w:val="none" w:sz="0" w:space="0" w:color="auto"/>
          </w:divBdr>
          <w:divsChild>
            <w:div w:id="498891426">
              <w:marLeft w:val="0"/>
              <w:marRight w:val="0"/>
              <w:marTop w:val="0"/>
              <w:marBottom w:val="0"/>
              <w:divBdr>
                <w:top w:val="none" w:sz="0" w:space="0" w:color="auto"/>
                <w:left w:val="none" w:sz="0" w:space="0" w:color="auto"/>
                <w:bottom w:val="none" w:sz="0" w:space="0" w:color="auto"/>
                <w:right w:val="none" w:sz="0" w:space="0" w:color="auto"/>
              </w:divBdr>
            </w:div>
            <w:div w:id="944188400">
              <w:marLeft w:val="0"/>
              <w:marRight w:val="0"/>
              <w:marTop w:val="0"/>
              <w:marBottom w:val="0"/>
              <w:divBdr>
                <w:top w:val="none" w:sz="0" w:space="0" w:color="auto"/>
                <w:left w:val="none" w:sz="0" w:space="0" w:color="auto"/>
                <w:bottom w:val="none" w:sz="0" w:space="0" w:color="auto"/>
                <w:right w:val="none" w:sz="0" w:space="0" w:color="auto"/>
              </w:divBdr>
            </w:div>
            <w:div w:id="1214778306">
              <w:marLeft w:val="0"/>
              <w:marRight w:val="0"/>
              <w:marTop w:val="0"/>
              <w:marBottom w:val="0"/>
              <w:divBdr>
                <w:top w:val="none" w:sz="0" w:space="0" w:color="auto"/>
                <w:left w:val="none" w:sz="0" w:space="0" w:color="auto"/>
                <w:bottom w:val="none" w:sz="0" w:space="0" w:color="auto"/>
                <w:right w:val="none" w:sz="0" w:space="0" w:color="auto"/>
              </w:divBdr>
            </w:div>
            <w:div w:id="1388601115">
              <w:marLeft w:val="0"/>
              <w:marRight w:val="0"/>
              <w:marTop w:val="0"/>
              <w:marBottom w:val="0"/>
              <w:divBdr>
                <w:top w:val="none" w:sz="0" w:space="0" w:color="auto"/>
                <w:left w:val="none" w:sz="0" w:space="0" w:color="auto"/>
                <w:bottom w:val="none" w:sz="0" w:space="0" w:color="auto"/>
                <w:right w:val="none" w:sz="0" w:space="0" w:color="auto"/>
              </w:divBdr>
            </w:div>
            <w:div w:id="1486892022">
              <w:marLeft w:val="0"/>
              <w:marRight w:val="0"/>
              <w:marTop w:val="0"/>
              <w:marBottom w:val="0"/>
              <w:divBdr>
                <w:top w:val="none" w:sz="0" w:space="0" w:color="auto"/>
                <w:left w:val="none" w:sz="0" w:space="0" w:color="auto"/>
                <w:bottom w:val="none" w:sz="0" w:space="0" w:color="auto"/>
                <w:right w:val="none" w:sz="0" w:space="0" w:color="auto"/>
              </w:divBdr>
            </w:div>
          </w:divsChild>
        </w:div>
        <w:div w:id="1785079399">
          <w:marLeft w:val="0"/>
          <w:marRight w:val="0"/>
          <w:marTop w:val="0"/>
          <w:marBottom w:val="0"/>
          <w:divBdr>
            <w:top w:val="none" w:sz="0" w:space="0" w:color="auto"/>
            <w:left w:val="none" w:sz="0" w:space="0" w:color="auto"/>
            <w:bottom w:val="none" w:sz="0" w:space="0" w:color="auto"/>
            <w:right w:val="none" w:sz="0" w:space="0" w:color="auto"/>
          </w:divBdr>
          <w:divsChild>
            <w:div w:id="192114220">
              <w:marLeft w:val="0"/>
              <w:marRight w:val="0"/>
              <w:marTop w:val="0"/>
              <w:marBottom w:val="0"/>
              <w:divBdr>
                <w:top w:val="none" w:sz="0" w:space="0" w:color="auto"/>
                <w:left w:val="none" w:sz="0" w:space="0" w:color="auto"/>
                <w:bottom w:val="none" w:sz="0" w:space="0" w:color="auto"/>
                <w:right w:val="none" w:sz="0" w:space="0" w:color="auto"/>
              </w:divBdr>
            </w:div>
            <w:div w:id="714818538">
              <w:marLeft w:val="0"/>
              <w:marRight w:val="0"/>
              <w:marTop w:val="0"/>
              <w:marBottom w:val="0"/>
              <w:divBdr>
                <w:top w:val="none" w:sz="0" w:space="0" w:color="auto"/>
                <w:left w:val="none" w:sz="0" w:space="0" w:color="auto"/>
                <w:bottom w:val="none" w:sz="0" w:space="0" w:color="auto"/>
                <w:right w:val="none" w:sz="0" w:space="0" w:color="auto"/>
              </w:divBdr>
            </w:div>
            <w:div w:id="971790088">
              <w:marLeft w:val="0"/>
              <w:marRight w:val="0"/>
              <w:marTop w:val="0"/>
              <w:marBottom w:val="0"/>
              <w:divBdr>
                <w:top w:val="none" w:sz="0" w:space="0" w:color="auto"/>
                <w:left w:val="none" w:sz="0" w:space="0" w:color="auto"/>
                <w:bottom w:val="none" w:sz="0" w:space="0" w:color="auto"/>
                <w:right w:val="none" w:sz="0" w:space="0" w:color="auto"/>
              </w:divBdr>
            </w:div>
            <w:div w:id="1779981611">
              <w:marLeft w:val="0"/>
              <w:marRight w:val="0"/>
              <w:marTop w:val="0"/>
              <w:marBottom w:val="0"/>
              <w:divBdr>
                <w:top w:val="none" w:sz="0" w:space="0" w:color="auto"/>
                <w:left w:val="none" w:sz="0" w:space="0" w:color="auto"/>
                <w:bottom w:val="none" w:sz="0" w:space="0" w:color="auto"/>
                <w:right w:val="none" w:sz="0" w:space="0" w:color="auto"/>
              </w:divBdr>
            </w:div>
            <w:div w:id="20998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9678">
      <w:bodyDiv w:val="1"/>
      <w:marLeft w:val="0"/>
      <w:marRight w:val="0"/>
      <w:marTop w:val="0"/>
      <w:marBottom w:val="0"/>
      <w:divBdr>
        <w:top w:val="none" w:sz="0" w:space="0" w:color="auto"/>
        <w:left w:val="none" w:sz="0" w:space="0" w:color="auto"/>
        <w:bottom w:val="none" w:sz="0" w:space="0" w:color="auto"/>
        <w:right w:val="none" w:sz="0" w:space="0" w:color="auto"/>
      </w:divBdr>
      <w:divsChild>
        <w:div w:id="217480049">
          <w:marLeft w:val="0"/>
          <w:marRight w:val="0"/>
          <w:marTop w:val="0"/>
          <w:marBottom w:val="0"/>
          <w:divBdr>
            <w:top w:val="none" w:sz="0" w:space="0" w:color="auto"/>
            <w:left w:val="none" w:sz="0" w:space="0" w:color="auto"/>
            <w:bottom w:val="none" w:sz="0" w:space="0" w:color="auto"/>
            <w:right w:val="none" w:sz="0" w:space="0" w:color="auto"/>
          </w:divBdr>
        </w:div>
        <w:div w:id="394012517">
          <w:marLeft w:val="0"/>
          <w:marRight w:val="0"/>
          <w:marTop w:val="0"/>
          <w:marBottom w:val="0"/>
          <w:divBdr>
            <w:top w:val="none" w:sz="0" w:space="0" w:color="auto"/>
            <w:left w:val="none" w:sz="0" w:space="0" w:color="auto"/>
            <w:bottom w:val="none" w:sz="0" w:space="0" w:color="auto"/>
            <w:right w:val="none" w:sz="0" w:space="0" w:color="auto"/>
          </w:divBdr>
        </w:div>
        <w:div w:id="1045566569">
          <w:marLeft w:val="0"/>
          <w:marRight w:val="0"/>
          <w:marTop w:val="0"/>
          <w:marBottom w:val="0"/>
          <w:divBdr>
            <w:top w:val="none" w:sz="0" w:space="0" w:color="auto"/>
            <w:left w:val="none" w:sz="0" w:space="0" w:color="auto"/>
            <w:bottom w:val="none" w:sz="0" w:space="0" w:color="auto"/>
            <w:right w:val="none" w:sz="0" w:space="0" w:color="auto"/>
          </w:divBdr>
        </w:div>
        <w:div w:id="1053777466">
          <w:marLeft w:val="0"/>
          <w:marRight w:val="0"/>
          <w:marTop w:val="0"/>
          <w:marBottom w:val="0"/>
          <w:divBdr>
            <w:top w:val="none" w:sz="0" w:space="0" w:color="auto"/>
            <w:left w:val="none" w:sz="0" w:space="0" w:color="auto"/>
            <w:bottom w:val="none" w:sz="0" w:space="0" w:color="auto"/>
            <w:right w:val="none" w:sz="0" w:space="0" w:color="auto"/>
          </w:divBdr>
        </w:div>
        <w:div w:id="1293444992">
          <w:marLeft w:val="0"/>
          <w:marRight w:val="0"/>
          <w:marTop w:val="0"/>
          <w:marBottom w:val="0"/>
          <w:divBdr>
            <w:top w:val="none" w:sz="0" w:space="0" w:color="auto"/>
            <w:left w:val="none" w:sz="0" w:space="0" w:color="auto"/>
            <w:bottom w:val="none" w:sz="0" w:space="0" w:color="auto"/>
            <w:right w:val="none" w:sz="0" w:space="0" w:color="auto"/>
          </w:divBdr>
        </w:div>
        <w:div w:id="1468475337">
          <w:marLeft w:val="0"/>
          <w:marRight w:val="0"/>
          <w:marTop w:val="0"/>
          <w:marBottom w:val="0"/>
          <w:divBdr>
            <w:top w:val="none" w:sz="0" w:space="0" w:color="auto"/>
            <w:left w:val="none" w:sz="0" w:space="0" w:color="auto"/>
            <w:bottom w:val="none" w:sz="0" w:space="0" w:color="auto"/>
            <w:right w:val="none" w:sz="0" w:space="0" w:color="auto"/>
          </w:divBdr>
        </w:div>
        <w:div w:id="1538658395">
          <w:marLeft w:val="0"/>
          <w:marRight w:val="0"/>
          <w:marTop w:val="0"/>
          <w:marBottom w:val="0"/>
          <w:divBdr>
            <w:top w:val="none" w:sz="0" w:space="0" w:color="auto"/>
            <w:left w:val="none" w:sz="0" w:space="0" w:color="auto"/>
            <w:bottom w:val="none" w:sz="0" w:space="0" w:color="auto"/>
            <w:right w:val="none" w:sz="0" w:space="0" w:color="auto"/>
          </w:divBdr>
        </w:div>
        <w:div w:id="2036693363">
          <w:marLeft w:val="0"/>
          <w:marRight w:val="0"/>
          <w:marTop w:val="0"/>
          <w:marBottom w:val="0"/>
          <w:divBdr>
            <w:top w:val="none" w:sz="0" w:space="0" w:color="auto"/>
            <w:left w:val="none" w:sz="0" w:space="0" w:color="auto"/>
            <w:bottom w:val="none" w:sz="0" w:space="0" w:color="auto"/>
            <w:right w:val="none" w:sz="0" w:space="0" w:color="auto"/>
          </w:divBdr>
        </w:div>
      </w:divsChild>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2037270379">
      <w:bodyDiv w:val="1"/>
      <w:marLeft w:val="0"/>
      <w:marRight w:val="0"/>
      <w:marTop w:val="0"/>
      <w:marBottom w:val="0"/>
      <w:divBdr>
        <w:top w:val="none" w:sz="0" w:space="0" w:color="auto"/>
        <w:left w:val="none" w:sz="0" w:space="0" w:color="auto"/>
        <w:bottom w:val="none" w:sz="0" w:space="0" w:color="auto"/>
        <w:right w:val="none" w:sz="0" w:space="0" w:color="auto"/>
      </w:divBdr>
      <w:divsChild>
        <w:div w:id="784739267">
          <w:marLeft w:val="0"/>
          <w:marRight w:val="0"/>
          <w:marTop w:val="0"/>
          <w:marBottom w:val="0"/>
          <w:divBdr>
            <w:top w:val="none" w:sz="0" w:space="0" w:color="auto"/>
            <w:left w:val="none" w:sz="0" w:space="0" w:color="auto"/>
            <w:bottom w:val="none" w:sz="0" w:space="0" w:color="auto"/>
            <w:right w:val="none" w:sz="0" w:space="0" w:color="auto"/>
          </w:divBdr>
        </w:div>
        <w:div w:id="1377269289">
          <w:marLeft w:val="0"/>
          <w:marRight w:val="0"/>
          <w:marTop w:val="0"/>
          <w:marBottom w:val="0"/>
          <w:divBdr>
            <w:top w:val="none" w:sz="0" w:space="0" w:color="auto"/>
            <w:left w:val="none" w:sz="0" w:space="0" w:color="auto"/>
            <w:bottom w:val="none" w:sz="0" w:space="0" w:color="auto"/>
            <w:right w:val="none" w:sz="0" w:space="0" w:color="auto"/>
          </w:divBdr>
        </w:div>
        <w:div w:id="1496997767">
          <w:marLeft w:val="0"/>
          <w:marRight w:val="0"/>
          <w:marTop w:val="0"/>
          <w:marBottom w:val="0"/>
          <w:divBdr>
            <w:top w:val="none" w:sz="0" w:space="0" w:color="auto"/>
            <w:left w:val="none" w:sz="0" w:space="0" w:color="auto"/>
            <w:bottom w:val="none" w:sz="0" w:space="0" w:color="auto"/>
            <w:right w:val="none" w:sz="0" w:space="0" w:color="auto"/>
          </w:divBdr>
        </w:div>
        <w:div w:id="1947734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_ip_UnifiedCompliancePolicyUIAction xmlns="http://schemas.microsoft.com/sharepoint/v3" xsi:nil="true"/>
    <_ip_UnifiedCompliancePolicyProperties xmlns="http://schemas.microsoft.com/sharepoint/v3" xsi:nil="true"/>
    <lcf76f155ced4ddcb4097134ff3c332f xmlns="06bc09a8-1791-4993-8040-c660d78d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E4DE2-C87E-464E-BDB2-06EC16E7916E}">
  <ds:schemaRefs>
    <ds:schemaRef ds:uri="http://schemas.microsoft.com/office/2006/metadata/properties"/>
    <ds:schemaRef ds:uri="http://schemas.microsoft.com/office/infopath/2007/PartnerControls"/>
    <ds:schemaRef ds:uri="4e53b9b8-0343-4c90-a6cf-cf9586f7535b"/>
    <ds:schemaRef ds:uri="http://schemas.microsoft.com/sharepoint/v3"/>
    <ds:schemaRef ds:uri="06bc09a8-1791-4993-8040-c660d78dd604"/>
  </ds:schemaRefs>
</ds:datastoreItem>
</file>

<file path=customXml/itemProps2.xml><?xml version="1.0" encoding="utf-8"?>
<ds:datastoreItem xmlns:ds="http://schemas.openxmlformats.org/officeDocument/2006/customXml" ds:itemID="{D52BDEE0-5BA5-4302-AEEF-6EB302D4EA42}">
  <ds:schemaRefs>
    <ds:schemaRef ds:uri="http://schemas.microsoft.com/sharepoint/v3/contenttype/forms"/>
  </ds:schemaRefs>
</ds:datastoreItem>
</file>

<file path=customXml/itemProps3.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4.xml><?xml version="1.0" encoding="utf-8"?>
<ds:datastoreItem xmlns:ds="http://schemas.openxmlformats.org/officeDocument/2006/customXml" ds:itemID="{49098A57-0CCB-46AD-98A3-7BB8976C5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15</TotalTime>
  <Pages>7</Pages>
  <Words>2351</Words>
  <Characters>13025</Characters>
  <Application>Microsoft Office Word</Application>
  <DocSecurity>0</DocSecurity>
  <Lines>342</Lines>
  <Paragraphs>167</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Jim Hetzel</cp:lastModifiedBy>
  <cp:revision>14</cp:revision>
  <cp:lastPrinted>2025-12-05T16:42:00Z</cp:lastPrinted>
  <dcterms:created xsi:type="dcterms:W3CDTF">2026-04-23T13:47:00Z</dcterms:created>
  <dcterms:modified xsi:type="dcterms:W3CDTF">2026-04-27T20:01:00Z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0x010100E413C89B43F7CE48B7419EAFE6C8B8BE</vt:lpwstr>
  </property>
  <property fmtid="{D5CDD505-2E9C-101B-9397-08002B2CF9AE}" pid="4" name="docLang">
    <vt:lpwstr>en</vt:lpwstr>
  </property>
</Properties>
</file>