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2598507C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36EB6ABD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652265">
        <w:rPr>
          <w:rFonts w:ascii="Arial" w:hAnsi="Arial" w:cs="Arial"/>
          <w:b/>
          <w:bCs/>
          <w:spacing w:val="3"/>
          <w:sz w:val="24"/>
          <w:szCs w:val="24"/>
        </w:rPr>
        <w:t>6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764A8A">
        <w:rPr>
          <w:rFonts w:ascii="Arial" w:hAnsi="Arial" w:cs="Arial"/>
          <w:b/>
          <w:bCs/>
          <w:spacing w:val="3"/>
          <w:sz w:val="24"/>
          <w:szCs w:val="24"/>
        </w:rPr>
        <w:t>0</w:t>
      </w:r>
      <w:r w:rsidR="00C5743A">
        <w:rPr>
          <w:rFonts w:ascii="Arial" w:hAnsi="Arial" w:cs="Arial"/>
          <w:b/>
          <w:bCs/>
          <w:spacing w:val="3"/>
          <w:sz w:val="24"/>
          <w:szCs w:val="24"/>
        </w:rPr>
        <w:t>396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070B4F2">
              <v:line id="Line 5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-3pt,1.2pt" to="464.5pt,1.2pt" w14:anchorId="604B7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3115732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6D1BD6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6C348469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r w:rsidR="00394363">
        <w:rPr>
          <w:rFonts w:ascii="Arial" w:hAnsi="Arial" w:cs="Arial"/>
          <w:spacing w:val="-2"/>
          <w:sz w:val="24"/>
          <w:szCs w:val="24"/>
        </w:rPr>
        <w:t>Rickelle Williams</w:t>
      </w:r>
      <w:r w:rsidR="008078CE" w:rsidRPr="008078CE">
        <w:rPr>
          <w:rFonts w:ascii="Arial" w:hAnsi="Arial" w:cs="Arial"/>
          <w:spacing w:val="-2"/>
          <w:sz w:val="24"/>
          <w:szCs w:val="24"/>
        </w:rPr>
        <w:t>,</w:t>
      </w:r>
      <w:r w:rsidR="00E67454">
        <w:rPr>
          <w:rFonts w:ascii="Arial" w:hAnsi="Arial" w:cs="Arial"/>
          <w:spacing w:val="-2"/>
          <w:sz w:val="24"/>
          <w:szCs w:val="24"/>
        </w:rPr>
        <w:t xml:space="preserve"> </w:t>
      </w:r>
      <w:r w:rsidR="008078CE" w:rsidRPr="008078CE">
        <w:rPr>
          <w:rFonts w:ascii="Arial" w:hAnsi="Arial" w:cs="Arial"/>
          <w:spacing w:val="-2"/>
          <w:sz w:val="24"/>
          <w:szCs w:val="24"/>
        </w:rPr>
        <w:t>City Manager</w:t>
      </w:r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04641B71" w:rsidR="00775C23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72CBCD8">
        <w:rPr>
          <w:rFonts w:ascii="Arial" w:hAnsi="Arial" w:cs="Arial"/>
          <w:b/>
          <w:bCs/>
          <w:sz w:val="24"/>
          <w:szCs w:val="24"/>
        </w:rPr>
        <w:t>DATE</w:t>
      </w:r>
      <w:r w:rsidRPr="172CBCD8">
        <w:rPr>
          <w:rFonts w:ascii="Arial" w:hAnsi="Arial" w:cs="Arial"/>
          <w:sz w:val="24"/>
          <w:szCs w:val="24"/>
        </w:rPr>
        <w:t>:</w:t>
      </w:r>
      <w:r>
        <w:tab/>
      </w:r>
      <w:r w:rsidR="00CA7E18">
        <w:rPr>
          <w:rFonts w:ascii="Arial" w:hAnsi="Arial" w:cs="Arial"/>
          <w:sz w:val="24"/>
          <w:szCs w:val="24"/>
        </w:rPr>
        <w:t>June 16</w:t>
      </w:r>
      <w:r w:rsidR="00972972" w:rsidRPr="172CBCD8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0957F42E" w:rsidR="0080466F" w:rsidRPr="002E1089" w:rsidRDefault="0080466F" w:rsidP="00A5414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A27D11" w:rsidRPr="00A27D11">
        <w:rPr>
          <w:rFonts w:ascii="Arial" w:hAnsi="Arial" w:cs="Arial"/>
          <w:sz w:val="24"/>
          <w:szCs w:val="24"/>
        </w:rPr>
        <w:t>Motion Approvin</w:t>
      </w:r>
      <w:r w:rsidR="006D1BD6">
        <w:rPr>
          <w:rFonts w:ascii="Arial" w:hAnsi="Arial" w:cs="Arial"/>
          <w:sz w:val="24"/>
          <w:szCs w:val="24"/>
        </w:rPr>
        <w:t>g the Final Ranking of Firms, Negotiated Fee Schedule</w:t>
      </w:r>
      <w:r w:rsidR="006D4E3C">
        <w:rPr>
          <w:rFonts w:ascii="Arial" w:hAnsi="Arial" w:cs="Arial"/>
          <w:sz w:val="24"/>
          <w:szCs w:val="24"/>
        </w:rPr>
        <w:t>s</w:t>
      </w:r>
      <w:r w:rsidR="006D1BD6">
        <w:rPr>
          <w:rFonts w:ascii="Arial" w:hAnsi="Arial" w:cs="Arial"/>
          <w:sz w:val="24"/>
          <w:szCs w:val="24"/>
        </w:rPr>
        <w:t xml:space="preserve">, and </w:t>
      </w:r>
      <w:r w:rsidR="00574699">
        <w:rPr>
          <w:rFonts w:ascii="Arial" w:hAnsi="Arial" w:cs="Arial"/>
          <w:sz w:val="24"/>
          <w:szCs w:val="24"/>
        </w:rPr>
        <w:t>A</w:t>
      </w:r>
      <w:r w:rsidR="00F90784">
        <w:rPr>
          <w:rFonts w:ascii="Arial" w:hAnsi="Arial" w:cs="Arial"/>
          <w:sz w:val="24"/>
          <w:szCs w:val="24"/>
        </w:rPr>
        <w:t>greement</w:t>
      </w:r>
      <w:r w:rsidR="006D4E3C">
        <w:rPr>
          <w:rFonts w:ascii="Arial" w:hAnsi="Arial" w:cs="Arial"/>
          <w:sz w:val="24"/>
          <w:szCs w:val="24"/>
        </w:rPr>
        <w:t>s</w:t>
      </w:r>
      <w:r w:rsidR="00F90784">
        <w:rPr>
          <w:rFonts w:ascii="Arial" w:hAnsi="Arial" w:cs="Arial"/>
          <w:sz w:val="24"/>
          <w:szCs w:val="24"/>
        </w:rPr>
        <w:t xml:space="preserve"> for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CF312F">
        <w:rPr>
          <w:rFonts w:ascii="Arial" w:hAnsi="Arial" w:cs="Arial"/>
          <w:sz w:val="24"/>
          <w:szCs w:val="24"/>
        </w:rPr>
        <w:t xml:space="preserve">Request for Qualifications (RFQ) No. 454 - </w:t>
      </w:r>
      <w:r w:rsidR="00E62C51" w:rsidRPr="00E62C51">
        <w:rPr>
          <w:rFonts w:ascii="Arial" w:hAnsi="Arial" w:cs="Arial"/>
          <w:sz w:val="24"/>
          <w:szCs w:val="24"/>
        </w:rPr>
        <w:t>Public Works Asset Management Consulting Services</w:t>
      </w:r>
      <w:r w:rsidR="003D1EBA" w:rsidRPr="003D1EBA">
        <w:rPr>
          <w:rFonts w:ascii="Arial" w:hAnsi="Arial" w:cs="Arial"/>
          <w:sz w:val="24"/>
          <w:szCs w:val="24"/>
        </w:rPr>
        <w:t xml:space="preserve"> </w:t>
      </w:r>
      <w:r w:rsidR="004C428B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230433" w:rsidRPr="00230433">
        <w:rPr>
          <w:rFonts w:ascii="Arial" w:hAnsi="Arial" w:cs="Arial"/>
          <w:sz w:val="24"/>
          <w:szCs w:val="24"/>
        </w:rPr>
        <w:t>Jacobs Engineering Group Inc.</w:t>
      </w:r>
      <w:r w:rsidR="00230433">
        <w:rPr>
          <w:rFonts w:ascii="Arial" w:hAnsi="Arial" w:cs="Arial"/>
          <w:sz w:val="24"/>
          <w:szCs w:val="24"/>
        </w:rPr>
        <w:t xml:space="preserve">, </w:t>
      </w:r>
      <w:r w:rsidR="002E7D36" w:rsidRPr="002E7D36">
        <w:rPr>
          <w:rFonts w:ascii="Arial" w:hAnsi="Arial" w:cs="Arial"/>
          <w:sz w:val="24"/>
          <w:szCs w:val="24"/>
        </w:rPr>
        <w:t>Stantec Consulting Services Inc.</w:t>
      </w:r>
      <w:r w:rsidR="00977986">
        <w:rPr>
          <w:rFonts w:ascii="Arial" w:hAnsi="Arial" w:cs="Arial"/>
          <w:sz w:val="24"/>
          <w:szCs w:val="24"/>
        </w:rPr>
        <w:t>,</w:t>
      </w:r>
      <w:r w:rsidR="00D410AE">
        <w:rPr>
          <w:rFonts w:ascii="Arial" w:hAnsi="Arial" w:cs="Arial"/>
          <w:sz w:val="24"/>
          <w:szCs w:val="24"/>
        </w:rPr>
        <w:t xml:space="preserve"> and </w:t>
      </w:r>
      <w:r w:rsidR="002F4750" w:rsidRPr="002F4750">
        <w:rPr>
          <w:rFonts w:ascii="Arial" w:hAnsi="Arial" w:cs="Arial"/>
          <w:sz w:val="24"/>
          <w:szCs w:val="24"/>
        </w:rPr>
        <w:t>Woolpert Inc.</w:t>
      </w:r>
      <w:r w:rsidR="004C428B">
        <w:rPr>
          <w:rFonts w:ascii="Arial" w:hAnsi="Arial" w:cs="Arial"/>
          <w:sz w:val="24"/>
          <w:szCs w:val="24"/>
        </w:rPr>
        <w:t xml:space="preserve"> </w:t>
      </w:r>
      <w:r w:rsidR="00B11B7C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$</w:t>
      </w:r>
      <w:r w:rsidR="00E36803">
        <w:rPr>
          <w:rFonts w:ascii="Arial" w:hAnsi="Arial" w:cs="Arial"/>
          <w:sz w:val="24"/>
          <w:szCs w:val="24"/>
        </w:rPr>
        <w:t>10,000,000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B11B7C">
        <w:rPr>
          <w:rFonts w:ascii="Arial" w:hAnsi="Arial" w:cs="Arial"/>
          <w:sz w:val="24"/>
          <w:szCs w:val="24"/>
        </w:rPr>
        <w:t>–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A27D11" w:rsidRPr="00B11B7C">
        <w:rPr>
          <w:rFonts w:ascii="Arial" w:hAnsi="Arial" w:cs="Arial"/>
          <w:sz w:val="24"/>
          <w:szCs w:val="24"/>
        </w:rPr>
        <w:t>(</w:t>
      </w:r>
      <w:r w:rsidR="00A27D11" w:rsidRPr="002E1089">
        <w:rPr>
          <w:rFonts w:ascii="Arial" w:hAnsi="Arial" w:cs="Arial"/>
          <w:b/>
          <w:bCs/>
          <w:sz w:val="24"/>
          <w:szCs w:val="24"/>
        </w:rPr>
        <w:t xml:space="preserve">Commission Districts </w:t>
      </w:r>
      <w:r w:rsidR="009F05DE">
        <w:rPr>
          <w:rFonts w:ascii="Arial" w:hAnsi="Arial" w:cs="Arial"/>
          <w:b/>
          <w:bCs/>
          <w:sz w:val="24"/>
          <w:szCs w:val="24"/>
        </w:rPr>
        <w:t>1, 2, 3 and 4</w:t>
      </w:r>
      <w:r w:rsidR="00A27D11" w:rsidRPr="00B11B7C">
        <w:rPr>
          <w:rFonts w:ascii="Arial" w:hAnsi="Arial" w:cs="Arial"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A82C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A16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5896E020" w14:textId="7D8C6BE9" w:rsidR="00D01F26" w:rsidRDefault="007136E7" w:rsidP="007A16E0">
      <w:pPr>
        <w:spacing w:after="0" w:line="240" w:lineRule="auto"/>
        <w:jc w:val="both"/>
        <w:rPr>
          <w:rFonts w:ascii="Arial" w:hAnsi="Arial" w:cs="Arial"/>
          <w:bCs/>
          <w:iCs/>
          <w:spacing w:val="-1"/>
          <w:sz w:val="24"/>
          <w:szCs w:val="24"/>
        </w:rPr>
      </w:pP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Staff recommends the City Commission approve 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>the final ranking of firms, negotiated fee schedule</w:t>
      </w:r>
      <w:r w:rsidR="006D4E3C">
        <w:rPr>
          <w:rFonts w:ascii="Arial" w:hAnsi="Arial" w:cs="Arial"/>
          <w:bCs/>
          <w:iCs/>
          <w:spacing w:val="-1"/>
          <w:sz w:val="24"/>
          <w:szCs w:val="24"/>
        </w:rPr>
        <w:t>s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>,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 </w:t>
      </w:r>
      <w:r w:rsidR="00F51CAB">
        <w:rPr>
          <w:rFonts w:ascii="Arial" w:hAnsi="Arial" w:cs="Arial"/>
          <w:bCs/>
          <w:iCs/>
          <w:spacing w:val="-1"/>
          <w:sz w:val="24"/>
          <w:szCs w:val="24"/>
        </w:rPr>
        <w:t xml:space="preserve">and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agreements, in substantially the forms attached,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for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Request for Qualifications (RFQ) No. 454 for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Public Works Asset Management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 Consulting Services </w:t>
      </w:r>
      <w:r w:rsidR="009A20DE">
        <w:rPr>
          <w:rFonts w:ascii="Arial" w:hAnsi="Arial" w:cs="Arial"/>
          <w:bCs/>
          <w:iCs/>
          <w:spacing w:val="-1"/>
          <w:sz w:val="24"/>
          <w:szCs w:val="24"/>
        </w:rPr>
        <w:t xml:space="preserve">with </w:t>
      </w:r>
      <w:r w:rsidR="006D4E3C" w:rsidRPr="006D4E3C">
        <w:rPr>
          <w:rFonts w:ascii="Arial" w:hAnsi="Arial" w:cs="Arial"/>
          <w:sz w:val="24"/>
          <w:szCs w:val="24"/>
        </w:rPr>
        <w:t>Jacobs Engineering Group Inc., Stantec Consulting Services Inc.</w:t>
      </w:r>
      <w:r w:rsidR="000044C7">
        <w:rPr>
          <w:rFonts w:ascii="Arial" w:hAnsi="Arial" w:cs="Arial"/>
          <w:sz w:val="24"/>
          <w:szCs w:val="24"/>
        </w:rPr>
        <w:t>,</w:t>
      </w:r>
      <w:r w:rsidR="006D4E3C" w:rsidRPr="006D4E3C">
        <w:rPr>
          <w:rFonts w:ascii="Arial" w:hAnsi="Arial" w:cs="Arial"/>
          <w:sz w:val="24"/>
          <w:szCs w:val="24"/>
        </w:rPr>
        <w:t xml:space="preserve"> and Woolpert Inc.</w:t>
      </w: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,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 xml:space="preserve">for an initial five (5)-year term </w:t>
      </w:r>
      <w:r w:rsidRPr="007136E7">
        <w:rPr>
          <w:rFonts w:ascii="Arial" w:hAnsi="Arial" w:cs="Arial"/>
          <w:bCs/>
          <w:iCs/>
          <w:spacing w:val="-1"/>
          <w:sz w:val="24"/>
          <w:szCs w:val="24"/>
        </w:rPr>
        <w:t xml:space="preserve">in the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estimated </w:t>
      </w:r>
      <w:r w:rsidR="00CF312F">
        <w:rPr>
          <w:rFonts w:ascii="Arial" w:hAnsi="Arial" w:cs="Arial"/>
          <w:bCs/>
          <w:iCs/>
          <w:spacing w:val="-1"/>
          <w:sz w:val="24"/>
          <w:szCs w:val="24"/>
        </w:rPr>
        <w:t>aggregate amount of $10,000,000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; 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and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 xml:space="preserve"> further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 authorize the City Manager to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 xml:space="preserve"> execute and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 xml:space="preserve"> approve 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>the agreement</w:t>
      </w:r>
      <w:r w:rsidR="00432523">
        <w:rPr>
          <w:rFonts w:ascii="Arial" w:hAnsi="Arial" w:cs="Arial"/>
          <w:bCs/>
          <w:iCs/>
          <w:spacing w:val="-1"/>
          <w:sz w:val="24"/>
          <w:szCs w:val="24"/>
        </w:rPr>
        <w:t>s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with two (</w:t>
      </w:r>
      <w:r w:rsidR="00E36803">
        <w:rPr>
          <w:rFonts w:ascii="Arial" w:hAnsi="Arial" w:cs="Arial"/>
          <w:bCs/>
          <w:iCs/>
          <w:spacing w:val="-1"/>
          <w:sz w:val="24"/>
          <w:szCs w:val="24"/>
        </w:rPr>
        <w:t>2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) </w:t>
      </w:r>
      <w:r w:rsidR="00550CFC">
        <w:rPr>
          <w:rFonts w:ascii="Arial" w:hAnsi="Arial" w:cs="Arial"/>
          <w:bCs/>
          <w:iCs/>
          <w:spacing w:val="-1"/>
          <w:sz w:val="24"/>
          <w:szCs w:val="24"/>
        </w:rPr>
        <w:t>one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(</w:t>
      </w:r>
      <w:r w:rsidR="00550CFC">
        <w:rPr>
          <w:rFonts w:ascii="Arial" w:hAnsi="Arial" w:cs="Arial"/>
          <w:bCs/>
          <w:iCs/>
          <w:spacing w:val="-1"/>
          <w:sz w:val="24"/>
          <w:szCs w:val="24"/>
        </w:rPr>
        <w:t>1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)-year renewal options 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>for a</w:t>
      </w:r>
      <w:r w:rsidR="0071263C">
        <w:rPr>
          <w:rFonts w:ascii="Arial" w:hAnsi="Arial" w:cs="Arial"/>
          <w:bCs/>
          <w:iCs/>
          <w:spacing w:val="-1"/>
          <w:sz w:val="24"/>
          <w:szCs w:val="24"/>
        </w:rPr>
        <w:t xml:space="preserve"> collective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 xml:space="preserve"> estimated </w:t>
      </w:r>
      <w:r w:rsidR="000044C7">
        <w:rPr>
          <w:rFonts w:ascii="Arial" w:hAnsi="Arial" w:cs="Arial"/>
          <w:bCs/>
          <w:iCs/>
          <w:spacing w:val="-1"/>
          <w:sz w:val="24"/>
          <w:szCs w:val="24"/>
        </w:rPr>
        <w:t xml:space="preserve">annual </w:t>
      </w:r>
      <w:r w:rsidR="0069273A">
        <w:rPr>
          <w:rFonts w:ascii="Arial" w:hAnsi="Arial" w:cs="Arial"/>
          <w:bCs/>
          <w:iCs/>
          <w:spacing w:val="-1"/>
          <w:sz w:val="24"/>
          <w:szCs w:val="24"/>
        </w:rPr>
        <w:t>renewal amount of $2,000,000 and a potential total aggregate contract amount of $14,000,000, subject to and contingent upon appropriation of funds.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                  </w:t>
      </w:r>
    </w:p>
    <w:p w14:paraId="285EEB03" w14:textId="77777777" w:rsidR="007136E7" w:rsidRPr="00195D42" w:rsidRDefault="007136E7" w:rsidP="007A16E0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Default="007A16E0" w:rsidP="007A16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7B519390" w14:textId="61E9FB43" w:rsidR="001866AF" w:rsidRDefault="009F05DE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C60">
        <w:rPr>
          <w:rFonts w:ascii="Arial" w:hAnsi="Arial" w:cs="Arial"/>
          <w:bCs/>
          <w:sz w:val="24"/>
          <w:szCs w:val="24"/>
        </w:rPr>
        <w:t>The City of Fort Lauderdale</w:t>
      </w:r>
      <w:r w:rsidR="009779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require</w:t>
      </w:r>
      <w:r w:rsidR="00977986">
        <w:rPr>
          <w:rFonts w:ascii="Arial" w:hAnsi="Arial" w:cs="Arial"/>
          <w:bCs/>
          <w:sz w:val="24"/>
          <w:szCs w:val="24"/>
        </w:rPr>
        <w:t>s</w:t>
      </w:r>
      <w:r w:rsidRPr="00476C60">
        <w:rPr>
          <w:rFonts w:ascii="Arial" w:hAnsi="Arial" w:cs="Arial"/>
          <w:bCs/>
          <w:sz w:val="24"/>
          <w:szCs w:val="24"/>
        </w:rPr>
        <w:t xml:space="preserve"> the services of </w:t>
      </w:r>
      <w:r w:rsidR="00972972" w:rsidRPr="00476C60">
        <w:rPr>
          <w:rFonts w:ascii="Arial" w:hAnsi="Arial" w:cs="Arial"/>
          <w:bCs/>
          <w:sz w:val="24"/>
          <w:szCs w:val="24"/>
        </w:rPr>
        <w:t>qualified</w:t>
      </w:r>
      <w:r w:rsidRPr="00476C60">
        <w:rPr>
          <w:rFonts w:ascii="Arial" w:hAnsi="Arial" w:cs="Arial"/>
          <w:bCs/>
          <w:sz w:val="24"/>
          <w:szCs w:val="24"/>
        </w:rPr>
        <w:t xml:space="preserve"> consulting firms to provide </w:t>
      </w:r>
      <w:r w:rsidR="001866AF">
        <w:rPr>
          <w:rFonts w:ascii="Arial" w:hAnsi="Arial" w:cs="Arial"/>
          <w:bCs/>
          <w:sz w:val="24"/>
          <w:szCs w:val="24"/>
        </w:rPr>
        <w:t>p</w:t>
      </w:r>
      <w:r w:rsidRPr="00476C60">
        <w:rPr>
          <w:rFonts w:ascii="Arial" w:hAnsi="Arial" w:cs="Arial"/>
          <w:bCs/>
          <w:sz w:val="24"/>
          <w:szCs w:val="24"/>
        </w:rPr>
        <w:t xml:space="preserve">rofessional </w:t>
      </w:r>
      <w:r w:rsidR="001866AF">
        <w:rPr>
          <w:rFonts w:ascii="Arial" w:hAnsi="Arial" w:cs="Arial"/>
          <w:bCs/>
          <w:sz w:val="24"/>
          <w:szCs w:val="24"/>
        </w:rPr>
        <w:t>s</w:t>
      </w:r>
      <w:r w:rsidRPr="00476C60">
        <w:rPr>
          <w:rFonts w:ascii="Arial" w:hAnsi="Arial" w:cs="Arial"/>
          <w:bCs/>
          <w:sz w:val="24"/>
          <w:szCs w:val="24"/>
        </w:rPr>
        <w:t xml:space="preserve">ervices related to Asset Management Planning </w:t>
      </w:r>
      <w:r w:rsidR="004B05F0">
        <w:rPr>
          <w:rFonts w:ascii="Arial" w:hAnsi="Arial" w:cs="Arial"/>
          <w:bCs/>
          <w:sz w:val="24"/>
          <w:szCs w:val="24"/>
        </w:rPr>
        <w:t>for</w:t>
      </w:r>
      <w:r w:rsidRPr="00476C60">
        <w:rPr>
          <w:rFonts w:ascii="Arial" w:hAnsi="Arial" w:cs="Arial"/>
          <w:bCs/>
          <w:sz w:val="24"/>
          <w:szCs w:val="24"/>
        </w:rPr>
        <w:t xml:space="preserve"> various</w:t>
      </w:r>
      <w:r w:rsidR="001866AF">
        <w:rPr>
          <w:rFonts w:ascii="Arial" w:hAnsi="Arial" w:cs="Arial"/>
          <w:bCs/>
          <w:sz w:val="24"/>
          <w:szCs w:val="24"/>
        </w:rPr>
        <w:t xml:space="preserve"> public infrastructure assets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Pr="00476C60">
        <w:rPr>
          <w:rFonts w:ascii="Arial" w:hAnsi="Arial" w:cs="Arial"/>
          <w:bCs/>
          <w:sz w:val="24"/>
          <w:szCs w:val="24"/>
        </w:rPr>
        <w:t xml:space="preserve"> </w:t>
      </w:r>
      <w:r w:rsidR="00AF3D71">
        <w:rPr>
          <w:rFonts w:ascii="Arial" w:hAnsi="Arial" w:cs="Arial"/>
          <w:bCs/>
          <w:sz w:val="24"/>
          <w:szCs w:val="24"/>
        </w:rPr>
        <w:t>such as stormwater, potable water, wastewater, treatment plants, roadways, sidewalks, seawalls, canals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="00AF3D71">
        <w:rPr>
          <w:rFonts w:ascii="Arial" w:hAnsi="Arial" w:cs="Arial"/>
          <w:bCs/>
          <w:sz w:val="24"/>
          <w:szCs w:val="24"/>
        </w:rPr>
        <w:t xml:space="preserve"> and bridges</w:t>
      </w:r>
      <w:r w:rsidR="001866AF">
        <w:rPr>
          <w:rFonts w:ascii="Arial" w:hAnsi="Arial" w:cs="Arial"/>
          <w:bCs/>
          <w:sz w:val="24"/>
          <w:szCs w:val="24"/>
        </w:rPr>
        <w:t>.</w:t>
      </w:r>
    </w:p>
    <w:p w14:paraId="5F6B0EAF" w14:textId="77777777" w:rsidR="001866AF" w:rsidRDefault="001866AF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E64157" w14:textId="6F3BAD0F" w:rsidR="00AF3D71" w:rsidRDefault="009F05DE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C60">
        <w:rPr>
          <w:rFonts w:ascii="Arial" w:hAnsi="Arial" w:cs="Arial"/>
          <w:bCs/>
          <w:sz w:val="24"/>
          <w:szCs w:val="24"/>
        </w:rPr>
        <w:t>The services include</w:t>
      </w:r>
      <w:r w:rsidR="00AF3D71">
        <w:rPr>
          <w:rFonts w:ascii="Arial" w:hAnsi="Arial" w:cs="Arial"/>
          <w:bCs/>
          <w:sz w:val="24"/>
          <w:szCs w:val="24"/>
        </w:rPr>
        <w:t>:</w:t>
      </w:r>
    </w:p>
    <w:p w14:paraId="7BA8F734" w14:textId="77777777" w:rsidR="00AF3D71" w:rsidRDefault="00AF3D71" w:rsidP="009F05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9FFB49" w14:textId="722BC6AC" w:rsidR="00AF3D71" w:rsidRDefault="00AF3D71" w:rsidP="00AF3D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9F05DE" w:rsidRPr="00AF3D71">
        <w:rPr>
          <w:rFonts w:ascii="Arial" w:hAnsi="Arial" w:cs="Arial"/>
          <w:bCs/>
          <w:sz w:val="24"/>
          <w:szCs w:val="24"/>
        </w:rPr>
        <w:t>evelopment and implementation of asset management plans</w:t>
      </w:r>
      <w:r w:rsidR="00FD12A9">
        <w:rPr>
          <w:rFonts w:ascii="Arial" w:hAnsi="Arial" w:cs="Arial"/>
          <w:bCs/>
          <w:sz w:val="24"/>
          <w:szCs w:val="24"/>
        </w:rPr>
        <w:t xml:space="preserve"> and strategies</w:t>
      </w:r>
      <w:r w:rsidR="00B1377F">
        <w:rPr>
          <w:rFonts w:ascii="Arial" w:hAnsi="Arial" w:cs="Arial"/>
          <w:bCs/>
          <w:sz w:val="24"/>
          <w:szCs w:val="24"/>
        </w:rPr>
        <w:t>;</w:t>
      </w:r>
    </w:p>
    <w:p w14:paraId="0622E3EF" w14:textId="77777777" w:rsidR="001866AF" w:rsidRDefault="001866AF" w:rsidP="001866AF">
      <w:pPr>
        <w:pStyle w:val="ListParagraph"/>
        <w:spacing w:after="0" w:line="240" w:lineRule="auto"/>
        <w:ind w:left="780"/>
        <w:jc w:val="both"/>
        <w:rPr>
          <w:rFonts w:ascii="Arial" w:hAnsi="Arial" w:cs="Arial"/>
          <w:bCs/>
          <w:sz w:val="24"/>
          <w:szCs w:val="24"/>
        </w:rPr>
      </w:pPr>
    </w:p>
    <w:p w14:paraId="75B1DD72" w14:textId="34A0B6E9" w:rsidR="00AF3D71" w:rsidRDefault="009E1939" w:rsidP="00AF3D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12A9">
        <w:rPr>
          <w:rFonts w:ascii="Arial" w:hAnsi="Arial" w:cs="Arial"/>
          <w:bCs/>
          <w:sz w:val="24"/>
          <w:szCs w:val="24"/>
        </w:rPr>
        <w:t xml:space="preserve">ata collection for </w:t>
      </w:r>
      <w:r w:rsidR="009F05DE" w:rsidRPr="00AF3D71">
        <w:rPr>
          <w:rFonts w:ascii="Arial" w:hAnsi="Arial" w:cs="Arial"/>
          <w:bCs/>
          <w:sz w:val="24"/>
          <w:szCs w:val="24"/>
        </w:rPr>
        <w:t>condition assessment</w:t>
      </w:r>
      <w:r w:rsidR="00FD12A9">
        <w:rPr>
          <w:rFonts w:ascii="Arial" w:hAnsi="Arial" w:cs="Arial"/>
          <w:bCs/>
          <w:sz w:val="24"/>
          <w:szCs w:val="24"/>
        </w:rPr>
        <w:t xml:space="preserve"> purposes to understand risk and life</w:t>
      </w:r>
      <w:r w:rsidR="004B05F0">
        <w:rPr>
          <w:rFonts w:ascii="Arial" w:hAnsi="Arial" w:cs="Arial"/>
          <w:bCs/>
          <w:sz w:val="24"/>
          <w:szCs w:val="24"/>
        </w:rPr>
        <w:t>-</w:t>
      </w:r>
      <w:r w:rsidR="00FD12A9">
        <w:rPr>
          <w:rFonts w:ascii="Arial" w:hAnsi="Arial" w:cs="Arial"/>
          <w:bCs/>
          <w:sz w:val="24"/>
          <w:szCs w:val="24"/>
        </w:rPr>
        <w:t>cycle stage</w:t>
      </w:r>
      <w:r w:rsidR="00B1377F">
        <w:rPr>
          <w:rFonts w:ascii="Arial" w:hAnsi="Arial" w:cs="Arial"/>
          <w:bCs/>
          <w:sz w:val="24"/>
          <w:szCs w:val="24"/>
        </w:rPr>
        <w:t>; and</w:t>
      </w:r>
    </w:p>
    <w:p w14:paraId="274FF53D" w14:textId="77777777" w:rsidR="001866AF" w:rsidRDefault="001866AF" w:rsidP="001866AF">
      <w:pPr>
        <w:pStyle w:val="ListParagraph"/>
        <w:widowControl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Cs/>
          <w:sz w:val="24"/>
          <w:szCs w:val="24"/>
        </w:rPr>
      </w:pPr>
    </w:p>
    <w:p w14:paraId="04EBBF9A" w14:textId="2BFBE432" w:rsidR="00FD12A9" w:rsidRPr="00AF3D71" w:rsidRDefault="00FD12A9" w:rsidP="002A30A8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12A9">
        <w:rPr>
          <w:rFonts w:ascii="Arial" w:hAnsi="Arial" w:cs="Arial"/>
          <w:bCs/>
          <w:sz w:val="24"/>
          <w:szCs w:val="24"/>
        </w:rPr>
        <w:t xml:space="preserve">Geocoding of public infrastructure into various City </w:t>
      </w:r>
      <w:r w:rsidR="009E1939">
        <w:rPr>
          <w:rFonts w:ascii="Arial" w:hAnsi="Arial" w:cs="Arial"/>
          <w:bCs/>
          <w:sz w:val="24"/>
          <w:szCs w:val="24"/>
        </w:rPr>
        <w:t>Geographic Information System (</w:t>
      </w:r>
      <w:r w:rsidRPr="00FD12A9">
        <w:rPr>
          <w:rFonts w:ascii="Arial" w:hAnsi="Arial" w:cs="Arial"/>
          <w:bCs/>
          <w:sz w:val="24"/>
          <w:szCs w:val="24"/>
        </w:rPr>
        <w:t>GIS</w:t>
      </w:r>
      <w:r w:rsidR="009E1939">
        <w:rPr>
          <w:rFonts w:ascii="Arial" w:hAnsi="Arial" w:cs="Arial"/>
          <w:bCs/>
          <w:sz w:val="24"/>
          <w:szCs w:val="24"/>
        </w:rPr>
        <w:t>)</w:t>
      </w:r>
      <w:r w:rsidRPr="00FD12A9">
        <w:rPr>
          <w:rFonts w:ascii="Arial" w:hAnsi="Arial" w:cs="Arial"/>
          <w:bCs/>
          <w:sz w:val="24"/>
          <w:szCs w:val="24"/>
        </w:rPr>
        <w:t xml:space="preserve"> platforms</w:t>
      </w:r>
      <w:r w:rsidR="004B05F0">
        <w:rPr>
          <w:rFonts w:ascii="Arial" w:hAnsi="Arial" w:cs="Arial"/>
          <w:bCs/>
          <w:sz w:val="24"/>
          <w:szCs w:val="24"/>
        </w:rPr>
        <w:t>,</w:t>
      </w:r>
      <w:r w:rsidRPr="00FD12A9">
        <w:rPr>
          <w:rFonts w:ascii="Arial" w:hAnsi="Arial" w:cs="Arial"/>
          <w:bCs/>
          <w:sz w:val="24"/>
          <w:szCs w:val="24"/>
        </w:rPr>
        <w:t xml:space="preserve"> such as </w:t>
      </w:r>
      <w:proofErr w:type="spellStart"/>
      <w:r w:rsidRPr="00FD12A9">
        <w:rPr>
          <w:rFonts w:ascii="Arial" w:hAnsi="Arial" w:cs="Arial"/>
          <w:bCs/>
          <w:sz w:val="24"/>
          <w:szCs w:val="24"/>
        </w:rPr>
        <w:t>CityWorks</w:t>
      </w:r>
      <w:proofErr w:type="spellEnd"/>
      <w:r w:rsidRPr="00FD12A9">
        <w:rPr>
          <w:rFonts w:ascii="Arial" w:hAnsi="Arial" w:cs="Arial"/>
          <w:bCs/>
          <w:sz w:val="24"/>
          <w:szCs w:val="24"/>
        </w:rPr>
        <w:t>.</w:t>
      </w:r>
    </w:p>
    <w:p w14:paraId="32C6A0BC" w14:textId="760F90A7" w:rsidR="00D61C50" w:rsidRPr="00FD12A9" w:rsidRDefault="00D61C50" w:rsidP="002A30A8">
      <w:pPr>
        <w:pStyle w:val="ListParagraph"/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5C8AC" w14:textId="1AA1ED3E" w:rsidR="007B5D9A" w:rsidRDefault="005A0EA9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0EA9">
        <w:rPr>
          <w:rFonts w:ascii="Arial" w:hAnsi="Arial" w:cs="Arial"/>
          <w:sz w:val="24"/>
          <w:szCs w:val="24"/>
        </w:rPr>
        <w:lastRenderedPageBreak/>
        <w:t xml:space="preserve">On </w:t>
      </w:r>
      <w:r w:rsidR="00E42A39">
        <w:rPr>
          <w:rFonts w:ascii="Arial" w:hAnsi="Arial" w:cs="Arial"/>
          <w:sz w:val="24"/>
          <w:szCs w:val="24"/>
        </w:rPr>
        <w:t>May</w:t>
      </w:r>
      <w:r w:rsidRPr="005A0EA9">
        <w:rPr>
          <w:rFonts w:ascii="Arial" w:hAnsi="Arial" w:cs="Arial"/>
          <w:sz w:val="24"/>
          <w:szCs w:val="24"/>
        </w:rPr>
        <w:t xml:space="preserve"> </w:t>
      </w:r>
      <w:r w:rsidR="00055E5C">
        <w:rPr>
          <w:rFonts w:ascii="Arial" w:hAnsi="Arial" w:cs="Arial"/>
          <w:sz w:val="24"/>
          <w:szCs w:val="24"/>
        </w:rPr>
        <w:t>3</w:t>
      </w:r>
      <w:r w:rsidR="00E42A39">
        <w:rPr>
          <w:rFonts w:ascii="Arial" w:hAnsi="Arial" w:cs="Arial"/>
          <w:sz w:val="24"/>
          <w:szCs w:val="24"/>
        </w:rPr>
        <w:t>0</w:t>
      </w:r>
      <w:r w:rsidRPr="005A0EA9">
        <w:rPr>
          <w:rFonts w:ascii="Arial" w:hAnsi="Arial" w:cs="Arial"/>
          <w:sz w:val="24"/>
          <w:szCs w:val="24"/>
        </w:rPr>
        <w:t>, 202</w:t>
      </w:r>
      <w:r w:rsidR="001E2249">
        <w:rPr>
          <w:rFonts w:ascii="Arial" w:hAnsi="Arial" w:cs="Arial"/>
          <w:sz w:val="24"/>
          <w:szCs w:val="24"/>
        </w:rPr>
        <w:t>5</w:t>
      </w:r>
      <w:r w:rsidRPr="005A0EA9">
        <w:rPr>
          <w:rFonts w:ascii="Arial" w:hAnsi="Arial" w:cs="Arial"/>
          <w:sz w:val="24"/>
          <w:szCs w:val="24"/>
        </w:rPr>
        <w:t>,</w:t>
      </w:r>
      <w:r w:rsidR="00977986">
        <w:rPr>
          <w:rFonts w:ascii="Arial" w:hAnsi="Arial" w:cs="Arial"/>
          <w:sz w:val="24"/>
          <w:szCs w:val="24"/>
        </w:rPr>
        <w:t xml:space="preserve"> the City, via</w:t>
      </w:r>
      <w:r w:rsidRPr="005A0EA9">
        <w:rPr>
          <w:rFonts w:ascii="Arial" w:hAnsi="Arial" w:cs="Arial"/>
          <w:sz w:val="24"/>
          <w:szCs w:val="24"/>
        </w:rPr>
        <w:t xml:space="preserve"> the Procurement Services </w:t>
      </w:r>
      <w:r w:rsidR="00EB02D2">
        <w:rPr>
          <w:rFonts w:ascii="Arial" w:hAnsi="Arial" w:cs="Arial"/>
          <w:sz w:val="24"/>
          <w:szCs w:val="24"/>
        </w:rPr>
        <w:t>D</w:t>
      </w:r>
      <w:r w:rsidR="0071263C">
        <w:rPr>
          <w:rFonts w:ascii="Arial" w:hAnsi="Arial" w:cs="Arial"/>
          <w:sz w:val="24"/>
          <w:szCs w:val="24"/>
        </w:rPr>
        <w:t>ivision</w:t>
      </w:r>
      <w:r w:rsidR="00977986">
        <w:rPr>
          <w:rFonts w:ascii="Arial" w:hAnsi="Arial" w:cs="Arial"/>
          <w:sz w:val="24"/>
          <w:szCs w:val="24"/>
        </w:rPr>
        <w:t>,</w:t>
      </w:r>
      <w:r w:rsidRPr="005A0EA9">
        <w:rPr>
          <w:rFonts w:ascii="Arial" w:hAnsi="Arial" w:cs="Arial"/>
          <w:sz w:val="24"/>
          <w:szCs w:val="24"/>
        </w:rPr>
        <w:t xml:space="preserve"> issued </w:t>
      </w:r>
      <w:r w:rsidR="007B4028" w:rsidRPr="005A0EA9">
        <w:rPr>
          <w:rFonts w:ascii="Arial" w:hAnsi="Arial" w:cs="Arial"/>
          <w:sz w:val="24"/>
          <w:szCs w:val="24"/>
        </w:rPr>
        <w:t>Request</w:t>
      </w:r>
      <w:r w:rsidRPr="005A0EA9">
        <w:rPr>
          <w:rFonts w:ascii="Arial" w:hAnsi="Arial" w:cs="Arial"/>
          <w:sz w:val="24"/>
          <w:szCs w:val="24"/>
        </w:rPr>
        <w:t xml:space="preserve"> for Qualifications (RFQ)</w:t>
      </w:r>
      <w:r w:rsidR="0071263C">
        <w:rPr>
          <w:rFonts w:ascii="Arial" w:hAnsi="Arial" w:cs="Arial"/>
          <w:sz w:val="24"/>
          <w:szCs w:val="24"/>
        </w:rPr>
        <w:t xml:space="preserve"> </w:t>
      </w:r>
      <w:r w:rsidR="00795B83">
        <w:rPr>
          <w:rFonts w:ascii="Arial" w:hAnsi="Arial" w:cs="Arial"/>
          <w:sz w:val="24"/>
          <w:szCs w:val="24"/>
        </w:rPr>
        <w:t xml:space="preserve">No. </w:t>
      </w:r>
      <w:r w:rsidR="005E641F">
        <w:rPr>
          <w:rFonts w:ascii="Arial" w:hAnsi="Arial" w:cs="Arial"/>
          <w:sz w:val="24"/>
          <w:szCs w:val="24"/>
        </w:rPr>
        <w:t>454</w:t>
      </w:r>
      <w:r w:rsidRPr="005A0EA9">
        <w:rPr>
          <w:rFonts w:ascii="Arial" w:hAnsi="Arial" w:cs="Arial"/>
          <w:sz w:val="24"/>
          <w:szCs w:val="24"/>
        </w:rPr>
        <w:t xml:space="preserve"> - </w:t>
      </w:r>
      <w:r w:rsidR="0062220A" w:rsidRPr="00E62C51">
        <w:rPr>
          <w:rFonts w:ascii="Arial" w:hAnsi="Arial" w:cs="Arial"/>
          <w:sz w:val="24"/>
          <w:szCs w:val="24"/>
        </w:rPr>
        <w:t>Public Works Asset Management Consulting Services</w:t>
      </w:r>
      <w:r w:rsidRPr="005A0EA9">
        <w:rPr>
          <w:rFonts w:ascii="Arial" w:hAnsi="Arial" w:cs="Arial"/>
          <w:sz w:val="24"/>
          <w:szCs w:val="24"/>
        </w:rPr>
        <w:t xml:space="preserve">. </w:t>
      </w:r>
      <w:r w:rsidR="00052E42">
        <w:rPr>
          <w:rFonts w:ascii="Arial" w:hAnsi="Arial" w:cs="Arial"/>
          <w:sz w:val="24"/>
          <w:szCs w:val="24"/>
        </w:rPr>
        <w:t xml:space="preserve">On </w:t>
      </w:r>
      <w:r w:rsidR="00D24F8F">
        <w:rPr>
          <w:rFonts w:ascii="Arial" w:hAnsi="Arial" w:cs="Arial"/>
          <w:sz w:val="24"/>
          <w:szCs w:val="24"/>
        </w:rPr>
        <w:t>June 30, 2025, Addendum</w:t>
      </w:r>
      <w:r w:rsidR="0071263C">
        <w:rPr>
          <w:rFonts w:ascii="Arial" w:hAnsi="Arial" w:cs="Arial"/>
          <w:sz w:val="24"/>
          <w:szCs w:val="24"/>
        </w:rPr>
        <w:t xml:space="preserve"> No.</w:t>
      </w:r>
      <w:r w:rsidR="00D24F8F">
        <w:rPr>
          <w:rFonts w:ascii="Arial" w:hAnsi="Arial" w:cs="Arial"/>
          <w:sz w:val="24"/>
          <w:szCs w:val="24"/>
        </w:rPr>
        <w:t xml:space="preserve"> 1 was issued to extend the </w:t>
      </w:r>
      <w:r w:rsidR="00427318">
        <w:rPr>
          <w:rFonts w:ascii="Arial" w:hAnsi="Arial" w:cs="Arial"/>
          <w:sz w:val="24"/>
          <w:szCs w:val="24"/>
        </w:rPr>
        <w:t>p</w:t>
      </w:r>
      <w:r w:rsidR="00D24F8F">
        <w:rPr>
          <w:rFonts w:ascii="Arial" w:hAnsi="Arial" w:cs="Arial"/>
          <w:sz w:val="24"/>
          <w:szCs w:val="24"/>
        </w:rPr>
        <w:t xml:space="preserve">roposal </w:t>
      </w:r>
      <w:r w:rsidR="00427318">
        <w:rPr>
          <w:rFonts w:ascii="Arial" w:hAnsi="Arial" w:cs="Arial"/>
          <w:sz w:val="24"/>
          <w:szCs w:val="24"/>
        </w:rPr>
        <w:t>d</w:t>
      </w:r>
      <w:r w:rsidR="00D24F8F">
        <w:rPr>
          <w:rFonts w:ascii="Arial" w:hAnsi="Arial" w:cs="Arial"/>
          <w:sz w:val="24"/>
          <w:szCs w:val="24"/>
        </w:rPr>
        <w:t xml:space="preserve">ue </w:t>
      </w:r>
      <w:r w:rsidR="00427318">
        <w:rPr>
          <w:rFonts w:ascii="Arial" w:hAnsi="Arial" w:cs="Arial"/>
          <w:sz w:val="24"/>
          <w:szCs w:val="24"/>
        </w:rPr>
        <w:t>d</w:t>
      </w:r>
      <w:r w:rsidR="00D24F8F">
        <w:rPr>
          <w:rFonts w:ascii="Arial" w:hAnsi="Arial" w:cs="Arial"/>
          <w:sz w:val="24"/>
          <w:szCs w:val="24"/>
        </w:rPr>
        <w:t xml:space="preserve">ate to July </w:t>
      </w:r>
      <w:r w:rsidR="00604198">
        <w:rPr>
          <w:rFonts w:ascii="Arial" w:hAnsi="Arial" w:cs="Arial"/>
          <w:sz w:val="24"/>
          <w:szCs w:val="24"/>
        </w:rPr>
        <w:t>7, 2025, since only one</w:t>
      </w:r>
      <w:r w:rsidR="00450455">
        <w:rPr>
          <w:rFonts w:ascii="Arial" w:hAnsi="Arial" w:cs="Arial"/>
          <w:sz w:val="24"/>
          <w:szCs w:val="24"/>
        </w:rPr>
        <w:t xml:space="preserve"> (1)</w:t>
      </w:r>
      <w:r w:rsidR="00604198">
        <w:rPr>
          <w:rFonts w:ascii="Arial" w:hAnsi="Arial" w:cs="Arial"/>
          <w:sz w:val="24"/>
          <w:szCs w:val="24"/>
        </w:rPr>
        <w:t xml:space="preserve"> proposal had been received. </w:t>
      </w:r>
      <w:r w:rsidR="00824A1A">
        <w:rPr>
          <w:rFonts w:ascii="Arial" w:hAnsi="Arial" w:cs="Arial"/>
          <w:sz w:val="24"/>
          <w:szCs w:val="24"/>
        </w:rPr>
        <w:t>The</w:t>
      </w:r>
      <w:r w:rsidR="007B5D9A">
        <w:rPr>
          <w:rFonts w:ascii="Arial" w:hAnsi="Arial" w:cs="Arial"/>
          <w:sz w:val="24"/>
          <w:szCs w:val="24"/>
        </w:rPr>
        <w:t xml:space="preserve"> extension successfully resulted in additional firms submitting proposals. </w:t>
      </w:r>
    </w:p>
    <w:p w14:paraId="3B18AD30" w14:textId="77777777" w:rsidR="007B5D9A" w:rsidRDefault="007B5D9A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BFE1C" w14:textId="51171919" w:rsidR="008212B2" w:rsidRDefault="007B5D9A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824A1A">
        <w:rPr>
          <w:rFonts w:ascii="Arial" w:hAnsi="Arial" w:cs="Arial"/>
          <w:sz w:val="24"/>
          <w:szCs w:val="24"/>
        </w:rPr>
        <w:t xml:space="preserve"> following </w:t>
      </w:r>
      <w:r w:rsidR="007542B0">
        <w:rPr>
          <w:rFonts w:ascii="Arial" w:hAnsi="Arial" w:cs="Arial"/>
          <w:sz w:val="24"/>
          <w:szCs w:val="24"/>
        </w:rPr>
        <w:t>t</w:t>
      </w:r>
      <w:r w:rsidR="00604198">
        <w:rPr>
          <w:rFonts w:ascii="Arial" w:hAnsi="Arial" w:cs="Arial"/>
          <w:sz w:val="24"/>
          <w:szCs w:val="24"/>
        </w:rPr>
        <w:t>hree</w:t>
      </w:r>
      <w:r w:rsidR="005A0EA9" w:rsidRPr="005A0EA9">
        <w:rPr>
          <w:rFonts w:ascii="Arial" w:hAnsi="Arial" w:cs="Arial"/>
          <w:sz w:val="24"/>
          <w:szCs w:val="24"/>
        </w:rPr>
        <w:t xml:space="preserve"> (</w:t>
      </w:r>
      <w:r w:rsidR="006B5ED6">
        <w:rPr>
          <w:rFonts w:ascii="Arial" w:hAnsi="Arial" w:cs="Arial"/>
          <w:sz w:val="24"/>
          <w:szCs w:val="24"/>
        </w:rPr>
        <w:t>3</w:t>
      </w:r>
      <w:r w:rsidR="005A0EA9" w:rsidRPr="005A0EA9">
        <w:rPr>
          <w:rFonts w:ascii="Arial" w:hAnsi="Arial" w:cs="Arial"/>
          <w:sz w:val="24"/>
          <w:szCs w:val="24"/>
        </w:rPr>
        <w:t xml:space="preserve">) firms submitted proposals for </w:t>
      </w:r>
      <w:r w:rsidR="007542B0">
        <w:rPr>
          <w:rFonts w:ascii="Arial" w:hAnsi="Arial" w:cs="Arial"/>
          <w:sz w:val="24"/>
          <w:szCs w:val="24"/>
        </w:rPr>
        <w:t>these</w:t>
      </w:r>
      <w:r w:rsidR="005A0EA9" w:rsidRPr="005A0EA9">
        <w:rPr>
          <w:rFonts w:ascii="Arial" w:hAnsi="Arial" w:cs="Arial"/>
          <w:sz w:val="24"/>
          <w:szCs w:val="24"/>
        </w:rPr>
        <w:t xml:space="preserve"> services</w:t>
      </w:r>
      <w:r w:rsidR="00977986">
        <w:rPr>
          <w:rFonts w:ascii="Arial" w:hAnsi="Arial" w:cs="Arial"/>
          <w:sz w:val="24"/>
          <w:szCs w:val="24"/>
        </w:rPr>
        <w:t>:</w:t>
      </w:r>
    </w:p>
    <w:p w14:paraId="385F13C7" w14:textId="77777777" w:rsidR="0098544C" w:rsidRDefault="0098544C" w:rsidP="007A16E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7772E5" w14:textId="0E600727" w:rsidR="002B0B65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B83717">
        <w:rPr>
          <w:rFonts w:ascii="Arial" w:hAnsi="Arial" w:cs="Arial"/>
          <w:sz w:val="24"/>
          <w:szCs w:val="24"/>
        </w:rPr>
        <w:t>Jacobs Engineering Group Inc.</w:t>
      </w:r>
    </w:p>
    <w:p w14:paraId="2AEBD497" w14:textId="1D9E96FE" w:rsidR="00B83717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29113F">
        <w:rPr>
          <w:rFonts w:ascii="Arial" w:hAnsi="Arial" w:cs="Arial"/>
          <w:sz w:val="24"/>
          <w:szCs w:val="24"/>
        </w:rPr>
        <w:t>Stantec Consulting Services Inc.</w:t>
      </w:r>
    </w:p>
    <w:p w14:paraId="6C6BD7B0" w14:textId="502B5F17" w:rsidR="0098544C" w:rsidRDefault="0029113F" w:rsidP="00B83717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Arial" w:hAnsi="Arial" w:cs="Arial"/>
          <w:sz w:val="24"/>
          <w:szCs w:val="24"/>
        </w:rPr>
      </w:pPr>
      <w:r w:rsidRPr="0029113F">
        <w:rPr>
          <w:rFonts w:ascii="Arial" w:hAnsi="Arial" w:cs="Arial"/>
          <w:sz w:val="24"/>
          <w:szCs w:val="24"/>
        </w:rPr>
        <w:t>Woolpert Inc.</w:t>
      </w:r>
    </w:p>
    <w:p w14:paraId="6BA12DDF" w14:textId="77777777" w:rsidR="00AE03CD" w:rsidRDefault="00AE03CD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B80F85" w14:textId="3A630674" w:rsidR="00942E1C" w:rsidRDefault="00E65634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86506">
        <w:rPr>
          <w:rFonts w:ascii="Arial" w:hAnsi="Arial" w:cs="Arial"/>
          <w:sz w:val="24"/>
          <w:szCs w:val="24"/>
        </w:rPr>
        <w:t xml:space="preserve">On </w:t>
      </w:r>
      <w:r w:rsidR="00F86506" w:rsidRPr="00F86506">
        <w:rPr>
          <w:rFonts w:ascii="Arial" w:hAnsi="Arial" w:cs="Arial"/>
          <w:sz w:val="24"/>
          <w:szCs w:val="24"/>
        </w:rPr>
        <w:t>August 21</w:t>
      </w:r>
      <w:r w:rsidRPr="00F86506">
        <w:rPr>
          <w:rFonts w:ascii="Arial" w:hAnsi="Arial" w:cs="Arial"/>
          <w:sz w:val="24"/>
          <w:szCs w:val="24"/>
        </w:rPr>
        <w:t>, 202</w:t>
      </w:r>
      <w:r w:rsidR="00F86506" w:rsidRPr="00F86506">
        <w:rPr>
          <w:rFonts w:ascii="Arial" w:hAnsi="Arial" w:cs="Arial"/>
          <w:sz w:val="24"/>
          <w:szCs w:val="24"/>
        </w:rPr>
        <w:t>5</w:t>
      </w:r>
      <w:r w:rsidRPr="00F86506">
        <w:rPr>
          <w:rFonts w:ascii="Arial" w:hAnsi="Arial" w:cs="Arial"/>
          <w:sz w:val="24"/>
          <w:szCs w:val="24"/>
        </w:rPr>
        <w:t xml:space="preserve">, these firms were invited to </w:t>
      </w:r>
      <w:r w:rsidR="00F9250D">
        <w:rPr>
          <w:rFonts w:ascii="Arial" w:hAnsi="Arial" w:cs="Arial"/>
          <w:sz w:val="24"/>
          <w:szCs w:val="24"/>
        </w:rPr>
        <w:t>provide</w:t>
      </w:r>
      <w:r w:rsidRPr="00F86506">
        <w:rPr>
          <w:rFonts w:ascii="Arial" w:hAnsi="Arial" w:cs="Arial"/>
          <w:sz w:val="24"/>
          <w:szCs w:val="24"/>
        </w:rPr>
        <w:t xml:space="preserve"> presentations to the Evaluation Committee (</w:t>
      </w:r>
      <w:r w:rsidR="00031D65" w:rsidRPr="00F86506">
        <w:rPr>
          <w:rFonts w:ascii="Arial" w:hAnsi="Arial" w:cs="Arial"/>
          <w:sz w:val="24"/>
          <w:szCs w:val="24"/>
        </w:rPr>
        <w:t>EC</w:t>
      </w:r>
      <w:r w:rsidRPr="00F86506">
        <w:rPr>
          <w:rFonts w:ascii="Arial" w:hAnsi="Arial" w:cs="Arial"/>
          <w:sz w:val="24"/>
          <w:szCs w:val="24"/>
        </w:rPr>
        <w:t xml:space="preserve">). </w:t>
      </w:r>
      <w:r w:rsidR="00545813">
        <w:rPr>
          <w:rFonts w:ascii="Arial" w:hAnsi="Arial" w:cs="Arial"/>
          <w:sz w:val="24"/>
          <w:szCs w:val="24"/>
        </w:rPr>
        <w:t>The proposals and presentations were ranked based on the evaluation criteria shown in the table below:</w:t>
      </w:r>
      <w:r w:rsidRPr="00E6563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1"/>
        <w:tblpPr w:leftFromText="180" w:rightFromText="180" w:vertAnchor="text" w:horzAnchor="margin" w:tblpY="195"/>
        <w:tblW w:w="9407" w:type="dxa"/>
        <w:tblLook w:val="04A0" w:firstRow="1" w:lastRow="0" w:firstColumn="1" w:lastColumn="0" w:noHBand="0" w:noVBand="1"/>
      </w:tblPr>
      <w:tblGrid>
        <w:gridCol w:w="7290"/>
        <w:gridCol w:w="2117"/>
      </w:tblGrid>
      <w:tr w:rsidR="00423EA5" w:rsidRPr="00704535" w14:paraId="5D156616" w14:textId="77777777" w:rsidTr="00423EA5">
        <w:trPr>
          <w:trHeight w:val="432"/>
        </w:trPr>
        <w:tc>
          <w:tcPr>
            <w:tcW w:w="7290" w:type="dxa"/>
            <w:shd w:val="clear" w:color="auto" w:fill="000000" w:themeFill="text1"/>
            <w:vAlign w:val="center"/>
          </w:tcPr>
          <w:p w14:paraId="2E355CA5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2117" w:type="dxa"/>
            <w:shd w:val="clear" w:color="auto" w:fill="000000" w:themeFill="text1"/>
            <w:vAlign w:val="center"/>
          </w:tcPr>
          <w:p w14:paraId="503003FA" w14:textId="77777777" w:rsidR="00423EA5" w:rsidRPr="00704535" w:rsidRDefault="00423EA5" w:rsidP="00423EA5">
            <w:pPr>
              <w:widowControl/>
              <w:overflowPunct w:val="0"/>
              <w:autoSpaceDE w:val="0"/>
              <w:autoSpaceDN w:val="0"/>
              <w:adjustRightInd w:val="0"/>
              <w:ind w:right="-47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WEIGHT (%)</w:t>
            </w:r>
          </w:p>
        </w:tc>
      </w:tr>
      <w:tr w:rsidR="00423EA5" w:rsidRPr="00704535" w14:paraId="779CB5A4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18FA32C9" w14:textId="5A3CF686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Qualifications and Experience of Firm and Subconsultants</w:t>
            </w:r>
          </w:p>
        </w:tc>
        <w:tc>
          <w:tcPr>
            <w:tcW w:w="2117" w:type="dxa"/>
            <w:vAlign w:val="center"/>
          </w:tcPr>
          <w:p w14:paraId="517B05DC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11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40%</w:t>
            </w:r>
          </w:p>
        </w:tc>
      </w:tr>
      <w:tr w:rsidR="00423EA5" w:rsidRPr="00704535" w14:paraId="15427440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51F143EC" w14:textId="15E89E24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lk17900100"/>
            <w:r w:rsidRPr="00523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Approach to Scope of Work</w:t>
            </w:r>
          </w:p>
        </w:tc>
        <w:tc>
          <w:tcPr>
            <w:tcW w:w="2117" w:type="dxa"/>
            <w:vAlign w:val="center"/>
          </w:tcPr>
          <w:p w14:paraId="2FC78B94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423EA5" w:rsidRPr="00704535" w14:paraId="475B32F3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317279AB" w14:textId="4971E102" w:rsidR="00423EA5" w:rsidRPr="00704535" w:rsidRDefault="00523D3F" w:rsidP="00423EA5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References</w:t>
            </w:r>
          </w:p>
        </w:tc>
        <w:tc>
          <w:tcPr>
            <w:tcW w:w="2117" w:type="dxa"/>
            <w:vAlign w:val="center"/>
          </w:tcPr>
          <w:p w14:paraId="0FB2545D" w14:textId="398E60E7" w:rsidR="00423EA5" w:rsidRPr="00704535" w:rsidRDefault="009160B9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423EA5" w:rsidRPr="00565EB7">
              <w:rPr>
                <w:rFonts w:ascii="Arial" w:eastAsia="Times New Roman" w:hAnsi="Arial" w:cs="Arial"/>
                <w:sz w:val="24"/>
                <w:szCs w:val="24"/>
              </w:rPr>
              <w:t>0%</w:t>
            </w:r>
          </w:p>
        </w:tc>
      </w:tr>
      <w:tr w:rsidR="00423EA5" w:rsidRPr="00704535" w14:paraId="745B378A" w14:textId="77777777" w:rsidTr="00423EA5">
        <w:trPr>
          <w:trHeight w:val="20"/>
        </w:trPr>
        <w:tc>
          <w:tcPr>
            <w:tcW w:w="7290" w:type="dxa"/>
            <w:vAlign w:val="center"/>
          </w:tcPr>
          <w:p w14:paraId="10BE72D7" w14:textId="56FB07F6" w:rsidR="00423EA5" w:rsidRPr="00704535" w:rsidRDefault="00523D3F" w:rsidP="00423EA5">
            <w:pPr>
              <w:widowControl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23D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and Past Performance</w:t>
            </w:r>
          </w:p>
        </w:tc>
        <w:tc>
          <w:tcPr>
            <w:tcW w:w="2117" w:type="dxa"/>
            <w:vAlign w:val="center"/>
          </w:tcPr>
          <w:p w14:paraId="75485E6B" w14:textId="74488452" w:rsidR="00423EA5" w:rsidRPr="00704535" w:rsidRDefault="009160B9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23E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423EA5" w:rsidRPr="00704535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</w:tr>
      <w:bookmarkEnd w:id="0"/>
      <w:tr w:rsidR="00423EA5" w:rsidRPr="00704535" w14:paraId="7E1745C0" w14:textId="77777777" w:rsidTr="00423EA5">
        <w:trPr>
          <w:trHeight w:val="432"/>
        </w:trPr>
        <w:tc>
          <w:tcPr>
            <w:tcW w:w="7290" w:type="dxa"/>
            <w:shd w:val="clear" w:color="auto" w:fill="000000" w:themeFill="text1"/>
            <w:vAlign w:val="center"/>
          </w:tcPr>
          <w:p w14:paraId="6A6E8EF5" w14:textId="77777777" w:rsidR="00423EA5" w:rsidRPr="00704535" w:rsidRDefault="00423EA5" w:rsidP="00423EA5">
            <w:pPr>
              <w:widowControl/>
              <w:overflowPunct w:val="0"/>
              <w:autoSpaceDE w:val="0"/>
              <w:autoSpaceDN w:val="0"/>
              <w:adjustRightInd w:val="0"/>
              <w:ind w:right="88"/>
              <w:jc w:val="right"/>
              <w:textAlignment w:val="baseline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TOTAL:    </w:t>
            </w:r>
          </w:p>
        </w:tc>
        <w:tc>
          <w:tcPr>
            <w:tcW w:w="2117" w:type="dxa"/>
            <w:shd w:val="clear" w:color="auto" w:fill="000000" w:themeFill="text1"/>
            <w:vAlign w:val="center"/>
          </w:tcPr>
          <w:p w14:paraId="2E6F4783" w14:textId="77777777" w:rsidR="00423EA5" w:rsidRPr="00704535" w:rsidRDefault="00423EA5" w:rsidP="00423EA5">
            <w:pPr>
              <w:widowControl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045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01257F6F" w14:textId="77777777" w:rsidR="000E74E2" w:rsidRDefault="000E74E2" w:rsidP="002B0B65">
      <w:pPr>
        <w:widowControl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952659" w14:textId="56BD93E3" w:rsidR="001551A2" w:rsidRDefault="006C75BC" w:rsidP="001551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</w:t>
      </w:r>
      <w:r w:rsidR="00AF417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resentations and </w:t>
      </w:r>
      <w:r w:rsidR="00AF4173">
        <w:rPr>
          <w:rFonts w:ascii="Arial" w:hAnsi="Arial" w:cs="Arial"/>
          <w:sz w:val="24"/>
          <w:szCs w:val="24"/>
        </w:rPr>
        <w:t>evaluation process, t</w:t>
      </w:r>
      <w:r w:rsidR="008F6325" w:rsidRPr="008F6325">
        <w:rPr>
          <w:rFonts w:ascii="Arial" w:hAnsi="Arial" w:cs="Arial"/>
          <w:sz w:val="24"/>
          <w:szCs w:val="24"/>
        </w:rPr>
        <w:t xml:space="preserve">he </w:t>
      </w:r>
      <w:r w:rsidR="00031D65">
        <w:rPr>
          <w:rFonts w:ascii="Arial" w:hAnsi="Arial" w:cs="Arial"/>
          <w:sz w:val="24"/>
          <w:szCs w:val="24"/>
        </w:rPr>
        <w:t xml:space="preserve">EC </w:t>
      </w:r>
      <w:r w:rsidR="00B77FFC">
        <w:rPr>
          <w:rFonts w:ascii="Arial" w:hAnsi="Arial" w:cs="Arial"/>
          <w:sz w:val="24"/>
          <w:szCs w:val="24"/>
        </w:rPr>
        <w:t xml:space="preserve">elected to negotiate with </w:t>
      </w:r>
      <w:r w:rsidR="00914BC6">
        <w:rPr>
          <w:rFonts w:ascii="Arial" w:hAnsi="Arial" w:cs="Arial"/>
          <w:sz w:val="24"/>
          <w:szCs w:val="24"/>
        </w:rPr>
        <w:t>all three</w:t>
      </w:r>
      <w:r w:rsidR="001A265E">
        <w:rPr>
          <w:rFonts w:ascii="Arial" w:hAnsi="Arial" w:cs="Arial"/>
          <w:sz w:val="24"/>
          <w:szCs w:val="24"/>
        </w:rPr>
        <w:t xml:space="preserve"> (3)</w:t>
      </w:r>
      <w:r w:rsidR="00644F88">
        <w:rPr>
          <w:rFonts w:ascii="Arial" w:hAnsi="Arial" w:cs="Arial"/>
          <w:sz w:val="24"/>
          <w:szCs w:val="24"/>
        </w:rPr>
        <w:t xml:space="preserve"> firms. </w:t>
      </w:r>
    </w:p>
    <w:p w14:paraId="4C0767A8" w14:textId="34ECFDDF" w:rsidR="007C4A18" w:rsidRDefault="007C4A18" w:rsidP="008F6325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678A6" w14:textId="29944923" w:rsidR="00607CC5" w:rsidRDefault="00607CC5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Negotiations have been completed and s</w:t>
      </w:r>
      <w:r w:rsidRPr="006266FA">
        <w:rPr>
          <w:rFonts w:ascii="Arial" w:hAnsi="Arial" w:cs="Arial"/>
          <w:sz w:val="24"/>
          <w:szCs w:val="24"/>
        </w:rPr>
        <w:t xml:space="preserve">taff is recommending award to </w:t>
      </w:r>
      <w:r w:rsidR="00CE75F8">
        <w:rPr>
          <w:rFonts w:ascii="Arial" w:hAnsi="Arial" w:cs="Arial"/>
          <w:sz w:val="24"/>
          <w:szCs w:val="24"/>
        </w:rPr>
        <w:t>all three (3) responsive and responsible firms:</w:t>
      </w:r>
      <w:r w:rsidR="00CE75F8" w:rsidRPr="006D4E3C">
        <w:rPr>
          <w:rFonts w:ascii="Arial" w:hAnsi="Arial" w:cs="Arial"/>
          <w:sz w:val="24"/>
          <w:szCs w:val="24"/>
        </w:rPr>
        <w:t xml:space="preserve"> </w:t>
      </w:r>
      <w:r w:rsidR="003E1B60" w:rsidRPr="006D4E3C">
        <w:rPr>
          <w:rFonts w:ascii="Arial" w:hAnsi="Arial" w:cs="Arial"/>
          <w:sz w:val="24"/>
          <w:szCs w:val="24"/>
        </w:rPr>
        <w:t>Jacobs Engineering Group Inc., Stantec Consulting Services Inc.</w:t>
      </w:r>
      <w:r w:rsidR="001A265E">
        <w:rPr>
          <w:rFonts w:ascii="Arial" w:hAnsi="Arial" w:cs="Arial"/>
          <w:sz w:val="24"/>
          <w:szCs w:val="24"/>
        </w:rPr>
        <w:t>,</w:t>
      </w:r>
      <w:r w:rsidR="003E1B60" w:rsidRPr="006D4E3C">
        <w:rPr>
          <w:rFonts w:ascii="Arial" w:hAnsi="Arial" w:cs="Arial"/>
          <w:sz w:val="24"/>
          <w:szCs w:val="24"/>
        </w:rPr>
        <w:t xml:space="preserve"> and Woolpert Inc.</w:t>
      </w:r>
      <w:r w:rsidR="00F41C0C">
        <w:rPr>
          <w:rFonts w:ascii="Arial" w:hAnsi="Arial" w:cs="Arial"/>
          <w:sz w:val="24"/>
          <w:szCs w:val="24"/>
        </w:rPr>
        <w:t xml:space="preserve"> </w:t>
      </w:r>
      <w:r w:rsidR="00F41C0C" w:rsidRPr="00F41C0C">
        <w:rPr>
          <w:rFonts w:ascii="Arial" w:hAnsi="Arial" w:cs="Arial"/>
          <w:sz w:val="24"/>
          <w:szCs w:val="24"/>
        </w:rPr>
        <w:t xml:space="preserve">The initial contract term shall be for </w:t>
      </w:r>
      <w:r w:rsidR="001A265E">
        <w:rPr>
          <w:rFonts w:ascii="Arial" w:hAnsi="Arial" w:cs="Arial"/>
          <w:sz w:val="24"/>
          <w:szCs w:val="24"/>
        </w:rPr>
        <w:t xml:space="preserve">five </w:t>
      </w:r>
      <w:r w:rsidR="00F41C0C" w:rsidRPr="00F41C0C">
        <w:rPr>
          <w:rFonts w:ascii="Arial" w:hAnsi="Arial" w:cs="Arial"/>
          <w:sz w:val="24"/>
          <w:szCs w:val="24"/>
        </w:rPr>
        <w:t xml:space="preserve">(5) years. The City reserves the right to extend the </w:t>
      </w:r>
      <w:r w:rsidR="002C718F">
        <w:rPr>
          <w:rFonts w:ascii="Arial" w:hAnsi="Arial" w:cs="Arial"/>
          <w:sz w:val="24"/>
          <w:szCs w:val="24"/>
        </w:rPr>
        <w:t>Agreements</w:t>
      </w:r>
      <w:r w:rsidR="00F41C0C" w:rsidRPr="00F41C0C">
        <w:rPr>
          <w:rFonts w:ascii="Arial" w:hAnsi="Arial" w:cs="Arial"/>
          <w:sz w:val="24"/>
          <w:szCs w:val="24"/>
        </w:rPr>
        <w:t xml:space="preserve"> for two (2) additional one (1)</w:t>
      </w:r>
      <w:r w:rsidR="00F9250D">
        <w:rPr>
          <w:rFonts w:ascii="Arial" w:hAnsi="Arial" w:cs="Arial"/>
          <w:sz w:val="24"/>
          <w:szCs w:val="24"/>
        </w:rPr>
        <w:t>-</w:t>
      </w:r>
      <w:r w:rsidR="00F41C0C" w:rsidRPr="00F41C0C">
        <w:rPr>
          <w:rFonts w:ascii="Arial" w:hAnsi="Arial" w:cs="Arial"/>
          <w:sz w:val="24"/>
          <w:szCs w:val="24"/>
        </w:rPr>
        <w:t xml:space="preserve">year terms, providing all terms, conditions and specifications remain the same, </w:t>
      </w:r>
      <w:r w:rsidR="00846DA0">
        <w:rPr>
          <w:rFonts w:ascii="Arial" w:hAnsi="Arial" w:cs="Arial"/>
          <w:sz w:val="24"/>
          <w:szCs w:val="24"/>
        </w:rPr>
        <w:t xml:space="preserve">and </w:t>
      </w:r>
      <w:r w:rsidR="00F41C0C" w:rsidRPr="00F41C0C">
        <w:rPr>
          <w:rFonts w:ascii="Arial" w:hAnsi="Arial" w:cs="Arial"/>
          <w:sz w:val="24"/>
          <w:szCs w:val="24"/>
        </w:rPr>
        <w:t xml:space="preserve">both </w:t>
      </w:r>
      <w:r w:rsidR="00F9250D">
        <w:rPr>
          <w:rFonts w:ascii="Arial" w:hAnsi="Arial" w:cs="Arial"/>
          <w:sz w:val="24"/>
          <w:szCs w:val="24"/>
        </w:rPr>
        <w:t>p</w:t>
      </w:r>
      <w:r w:rsidR="00F41C0C" w:rsidRPr="00F41C0C">
        <w:rPr>
          <w:rFonts w:ascii="Arial" w:hAnsi="Arial" w:cs="Arial"/>
          <w:sz w:val="24"/>
          <w:szCs w:val="24"/>
        </w:rPr>
        <w:t>arties agree to the extension.</w:t>
      </w:r>
    </w:p>
    <w:p w14:paraId="0C594141" w14:textId="77777777" w:rsidR="00545813" w:rsidRDefault="00545813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E79E8" w14:textId="1B247D4F" w:rsidR="00545813" w:rsidRPr="006266FA" w:rsidRDefault="00545813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 orders will be issued to </w:t>
      </w:r>
      <w:r w:rsidR="001E5C6C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of the selected firms, as needed, based on project priorities, and available funding.</w:t>
      </w:r>
    </w:p>
    <w:p w14:paraId="11DE5DD9" w14:textId="77777777" w:rsidR="00195D42" w:rsidRPr="00195D42" w:rsidRDefault="00195D42" w:rsidP="00195D42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1AC30B47" w14:textId="77777777" w:rsidR="008E3F9A" w:rsidRDefault="00DE6FAD" w:rsidP="008E754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13C81EBA" w14:textId="33169A30" w:rsidR="001446E9" w:rsidRPr="00A9230D" w:rsidRDefault="001446E9" w:rsidP="172CBCD8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</w:rPr>
      </w:pPr>
      <w:r w:rsidRPr="172CBCD8">
        <w:rPr>
          <w:rFonts w:ascii="Arial" w:hAnsi="Arial" w:cs="Arial"/>
          <w:color w:val="262626"/>
          <w:sz w:val="24"/>
          <w:szCs w:val="24"/>
        </w:rPr>
        <w:t xml:space="preserve">There </w:t>
      </w:r>
      <w:r w:rsidR="00972972" w:rsidRPr="172CBCD8">
        <w:rPr>
          <w:rFonts w:ascii="Arial" w:hAnsi="Arial" w:cs="Arial"/>
          <w:color w:val="262626"/>
          <w:sz w:val="24"/>
          <w:szCs w:val="24"/>
        </w:rPr>
        <w:t>is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 a </w:t>
      </w:r>
      <w:r w:rsidR="00870795">
        <w:rPr>
          <w:rFonts w:ascii="Arial" w:hAnsi="Arial" w:cs="Arial"/>
          <w:color w:val="262626"/>
          <w:sz w:val="24"/>
          <w:szCs w:val="24"/>
        </w:rPr>
        <w:t>F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iscal </w:t>
      </w:r>
      <w:r w:rsidR="00870795">
        <w:rPr>
          <w:rFonts w:ascii="Arial" w:hAnsi="Arial" w:cs="Arial"/>
          <w:color w:val="262626"/>
          <w:sz w:val="24"/>
          <w:szCs w:val="24"/>
        </w:rPr>
        <w:t>Y</w:t>
      </w:r>
      <w:r w:rsidRPr="172CBCD8">
        <w:rPr>
          <w:rFonts w:ascii="Arial" w:hAnsi="Arial" w:cs="Arial"/>
          <w:color w:val="262626"/>
          <w:sz w:val="24"/>
          <w:szCs w:val="24"/>
        </w:rPr>
        <w:t>ear</w:t>
      </w:r>
      <w:r w:rsidR="00846DA0">
        <w:rPr>
          <w:rFonts w:ascii="Arial" w:hAnsi="Arial" w:cs="Arial"/>
          <w:color w:val="262626"/>
          <w:sz w:val="24"/>
          <w:szCs w:val="24"/>
        </w:rPr>
        <w:t xml:space="preserve"> (FY)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 </w:t>
      </w:r>
      <w:r w:rsidR="00870795">
        <w:rPr>
          <w:rFonts w:ascii="Arial" w:hAnsi="Arial" w:cs="Arial"/>
          <w:color w:val="262626"/>
          <w:sz w:val="24"/>
          <w:szCs w:val="24"/>
        </w:rPr>
        <w:t xml:space="preserve">2026 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impact to the </w:t>
      </w:r>
      <w:proofErr w:type="gramStart"/>
      <w:r w:rsidR="00F9250D">
        <w:rPr>
          <w:rFonts w:ascii="Arial" w:hAnsi="Arial" w:cs="Arial"/>
          <w:color w:val="262626"/>
          <w:sz w:val="24"/>
          <w:szCs w:val="24"/>
        </w:rPr>
        <w:t>C</w:t>
      </w:r>
      <w:r w:rsidRPr="172CBCD8">
        <w:rPr>
          <w:rFonts w:ascii="Arial" w:hAnsi="Arial" w:cs="Arial"/>
          <w:color w:val="262626"/>
          <w:sz w:val="24"/>
          <w:szCs w:val="24"/>
        </w:rPr>
        <w:t>ity</w:t>
      </w:r>
      <w:proofErr w:type="gramEnd"/>
      <w:r w:rsidRPr="172CBCD8">
        <w:rPr>
          <w:rFonts w:ascii="Arial" w:hAnsi="Arial" w:cs="Arial"/>
          <w:color w:val="262626"/>
          <w:sz w:val="24"/>
          <w:szCs w:val="24"/>
        </w:rPr>
        <w:t xml:space="preserve"> in the amount of $2,</w:t>
      </w:r>
      <w:r w:rsidR="000F38CD" w:rsidRPr="172CBCD8">
        <w:rPr>
          <w:rFonts w:ascii="Arial" w:hAnsi="Arial" w:cs="Arial"/>
          <w:color w:val="262626"/>
          <w:sz w:val="24"/>
          <w:szCs w:val="24"/>
        </w:rPr>
        <w:t>226</w:t>
      </w:r>
      <w:r w:rsidRPr="172CBCD8">
        <w:rPr>
          <w:rFonts w:ascii="Arial" w:hAnsi="Arial" w:cs="Arial"/>
          <w:color w:val="262626"/>
          <w:sz w:val="24"/>
          <w:szCs w:val="24"/>
        </w:rPr>
        <w:t>,</w:t>
      </w:r>
      <w:r w:rsidR="000F38CD" w:rsidRPr="172CBCD8">
        <w:rPr>
          <w:rFonts w:ascii="Arial" w:hAnsi="Arial" w:cs="Arial"/>
          <w:color w:val="262626"/>
          <w:sz w:val="24"/>
          <w:szCs w:val="24"/>
        </w:rPr>
        <w:t>718.10</w:t>
      </w:r>
      <w:r w:rsidRPr="172CBCD8">
        <w:rPr>
          <w:rFonts w:ascii="Arial" w:hAnsi="Arial" w:cs="Arial"/>
          <w:color w:val="262626"/>
          <w:sz w:val="24"/>
          <w:szCs w:val="24"/>
        </w:rPr>
        <w:t xml:space="preserve">. 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Funds for these </w:t>
      </w:r>
      <w:r>
        <w:rPr>
          <w:rFonts w:ascii="Arial" w:hAnsi="Arial" w:cs="Arial"/>
          <w:spacing w:val="-1"/>
          <w:sz w:val="24"/>
          <w:szCs w:val="24"/>
        </w:rPr>
        <w:t>agreements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 are available in </w:t>
      </w:r>
      <w:r w:rsidR="00F9250D">
        <w:rPr>
          <w:rFonts w:ascii="Arial" w:hAnsi="Arial" w:cs="Arial"/>
          <w:spacing w:val="-1"/>
          <w:sz w:val="24"/>
          <w:szCs w:val="24"/>
        </w:rPr>
        <w:t xml:space="preserve">the </w:t>
      </w:r>
      <w:r w:rsidRPr="00A52BAA">
        <w:rPr>
          <w:rFonts w:ascii="Arial" w:hAnsi="Arial" w:cs="Arial"/>
          <w:spacing w:val="-1"/>
          <w:sz w:val="24"/>
          <w:szCs w:val="24"/>
        </w:rPr>
        <w:t>FY 202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A52BAA">
        <w:rPr>
          <w:rFonts w:ascii="Arial" w:hAnsi="Arial" w:cs="Arial"/>
          <w:spacing w:val="-1"/>
          <w:sz w:val="24"/>
          <w:szCs w:val="24"/>
        </w:rPr>
        <w:t xml:space="preserve"> Community Investment Plan </w:t>
      </w:r>
      <w:r w:rsidR="00545813">
        <w:rPr>
          <w:rFonts w:ascii="Arial" w:hAnsi="Arial" w:cs="Arial"/>
          <w:spacing w:val="-1"/>
          <w:sz w:val="24"/>
          <w:szCs w:val="24"/>
        </w:rPr>
        <w:t xml:space="preserve">(CIP) </w:t>
      </w:r>
      <w:r>
        <w:rPr>
          <w:rFonts w:ascii="Arial" w:hAnsi="Arial" w:cs="Arial"/>
          <w:spacing w:val="-1"/>
          <w:sz w:val="24"/>
          <w:szCs w:val="24"/>
        </w:rPr>
        <w:t xml:space="preserve">and Operating Budget </w:t>
      </w:r>
      <w:r w:rsidRPr="00A52BAA">
        <w:rPr>
          <w:rFonts w:ascii="Arial" w:hAnsi="Arial" w:cs="Arial"/>
          <w:spacing w:val="-1"/>
          <w:sz w:val="24"/>
          <w:szCs w:val="24"/>
        </w:rPr>
        <w:t>in the accounts listed below. Future task order funding is contingent upon the approval and appropriation of the annual budgets.</w:t>
      </w:r>
    </w:p>
    <w:p w14:paraId="4F4B3867" w14:textId="2A8D5770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2DEE0" w14:textId="6597D5FA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57C960" w14:textId="21924F95" w:rsidR="172CBCD8" w:rsidRDefault="172CBCD8" w:rsidP="172CBCD8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D58AF" w14:textId="77777777" w:rsidR="001446E9" w:rsidRDefault="001446E9" w:rsidP="00EB085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635" w:tblpY="-7"/>
        <w:tblW w:w="10784" w:type="dxa"/>
        <w:tblLayout w:type="fixed"/>
        <w:tblLook w:val="04A0" w:firstRow="1" w:lastRow="0" w:firstColumn="1" w:lastColumn="0" w:noHBand="0" w:noVBand="1"/>
      </w:tblPr>
      <w:tblGrid>
        <w:gridCol w:w="1163"/>
        <w:gridCol w:w="542"/>
        <w:gridCol w:w="360"/>
        <w:gridCol w:w="236"/>
        <w:gridCol w:w="1014"/>
        <w:gridCol w:w="460"/>
        <w:gridCol w:w="1800"/>
        <w:gridCol w:w="1620"/>
        <w:gridCol w:w="1624"/>
        <w:gridCol w:w="1965"/>
      </w:tblGrid>
      <w:tr w:rsidR="001446E9" w:rsidRPr="00A9230D" w14:paraId="74E7A41D" w14:textId="77777777" w:rsidTr="172CBCD8">
        <w:trPr>
          <w:trHeight w:val="316"/>
        </w:trPr>
        <w:tc>
          <w:tcPr>
            <w:tcW w:w="10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0A5DB" w14:textId="51997FD3" w:rsidR="001446E9" w:rsidRPr="00C5743A" w:rsidRDefault="001446E9" w:rsidP="006946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lastRenderedPageBreak/>
              <w:t xml:space="preserve">Funds available as of </w:t>
            </w:r>
            <w:r w:rsidR="0089689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June 3, 2026</w:t>
            </w:r>
          </w:p>
        </w:tc>
      </w:tr>
      <w:tr w:rsidR="001446E9" w:rsidRPr="00A9230D" w14:paraId="61A01983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FD967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441C6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COST CENTER NAME</w:t>
            </w:r>
          </w:p>
          <w:p w14:paraId="14AC1E6D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(Program)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7F8BE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CHARACTER/ ACCOUNT</w:t>
            </w:r>
          </w:p>
          <w:p w14:paraId="74AE4CE3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8A5B0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AMENDED BUDGET</w:t>
            </w:r>
          </w:p>
          <w:p w14:paraId="75892946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1688E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AVAILABLE BALANCE</w:t>
            </w:r>
          </w:p>
          <w:p w14:paraId="1314C876" w14:textId="497E8788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(Character)</w:t>
            </w:r>
            <w:r w:rsidR="00832748" w:rsidRPr="00C574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B052D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E24C91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FB7CD5" w:rsidRPr="00A9230D" w14:paraId="59BBB97B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FE5" w14:textId="77777777" w:rsidR="00FB7CD5" w:rsidRPr="00C5743A" w:rsidRDefault="00FB7CD5" w:rsidP="00FB7CD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10-470-7343-538-30-3199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784" w14:textId="77777777" w:rsidR="00FB7CD5" w:rsidRPr="00C5743A" w:rsidRDefault="00FB7CD5" w:rsidP="00FB7CD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Stormwater Watershed Asset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5D4" w14:textId="77777777" w:rsidR="00FB7CD5" w:rsidRPr="00C5743A" w:rsidRDefault="00FB7CD5" w:rsidP="00FB7CD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Services/ Materials/ Other Professional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CAB" w14:textId="36E44B45" w:rsidR="00FB7CD5" w:rsidRPr="00C5743A" w:rsidRDefault="00FB7CD5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$1,</w:t>
            </w:r>
            <w:r w:rsidR="00B628A9" w:rsidRPr="00C5743A">
              <w:rPr>
                <w:rFonts w:ascii="Arial" w:hAnsi="Arial" w:cs="Arial"/>
                <w:bCs/>
                <w:sz w:val="18"/>
                <w:szCs w:val="18"/>
              </w:rPr>
              <w:t>433,281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043" w14:textId="4D09FC3B" w:rsidR="00FB7CD5" w:rsidRPr="00C5743A" w:rsidRDefault="00FB7CD5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$1,</w:t>
            </w:r>
            <w:r w:rsidR="00B628A9" w:rsidRPr="00C5743A">
              <w:rPr>
                <w:rFonts w:ascii="Arial" w:hAnsi="Arial" w:cs="Arial"/>
                <w:bCs/>
                <w:sz w:val="18"/>
                <w:szCs w:val="18"/>
              </w:rPr>
              <w:t>280,000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9DF" w14:textId="37CA9CA5" w:rsidR="00FB7CD5" w:rsidRPr="00C5743A" w:rsidRDefault="00FB7CD5" w:rsidP="00FB7CD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$376,718.10</w:t>
            </w:r>
          </w:p>
        </w:tc>
      </w:tr>
      <w:tr w:rsidR="00FB7CD5" w:rsidRPr="00A9230D" w14:paraId="38730E9D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19B" w14:textId="7E0F33B7" w:rsidR="00FB7CD5" w:rsidRPr="00C5743A" w:rsidRDefault="00FB7CD5" w:rsidP="0069467F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10-47</w:t>
            </w:r>
            <w:r w:rsidR="00B628A9"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-7343-538-30-3299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8C4" w14:textId="1A8F4FE0" w:rsidR="00FB7CD5" w:rsidRPr="00C5743A" w:rsidRDefault="00FB7CD5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Stormwater Watershed Asset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62F" w14:textId="73544DFC" w:rsidR="00FB7CD5" w:rsidRPr="00C5743A" w:rsidRDefault="00FB7CD5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Other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8EA4" w14:textId="30C45BBB" w:rsidR="00FB7CD5" w:rsidRPr="00C5743A" w:rsidRDefault="00FB7CD5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</w:t>
            </w:r>
            <w:r w:rsidR="00B628A9" w:rsidRPr="00C5743A">
              <w:rPr>
                <w:rFonts w:ascii="Arial" w:hAnsi="Arial" w:cs="Arial"/>
                <w:bCs/>
                <w:sz w:val="18"/>
                <w:szCs w:val="18"/>
              </w:rPr>
              <w:t>1,433,281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40E" w14:textId="38BB728B" w:rsidR="00FB7CD5" w:rsidRPr="00C5743A" w:rsidRDefault="00FB7CD5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</w:t>
            </w:r>
            <w:r w:rsidR="00B628A9" w:rsidRPr="00C5743A">
              <w:rPr>
                <w:rFonts w:ascii="Arial" w:hAnsi="Arial" w:cs="Arial"/>
                <w:bCs/>
                <w:sz w:val="18"/>
                <w:szCs w:val="18"/>
              </w:rPr>
              <w:t>1,280,000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4D4" w14:textId="4A694C5E" w:rsidR="00FB7CD5" w:rsidRPr="00C5743A" w:rsidRDefault="00FB7CD5" w:rsidP="0069467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$750,000</w:t>
            </w:r>
          </w:p>
        </w:tc>
      </w:tr>
      <w:tr w:rsidR="001446E9" w:rsidRPr="00A9230D" w14:paraId="732466CD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0214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10-454-7999-536-60-6534-P12190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AC9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BB1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165" w14:textId="77777777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$2,261,620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D18" w14:textId="2E428430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</w:t>
            </w:r>
            <w:r w:rsidR="00972972" w:rsidRPr="00C5743A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CA7E18">
              <w:rPr>
                <w:rFonts w:ascii="Arial" w:hAnsi="Arial" w:cs="Arial"/>
                <w:bCs/>
                <w:sz w:val="18"/>
                <w:szCs w:val="18"/>
              </w:rPr>
              <w:t>53,196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D8B" w14:textId="2D698B81" w:rsidR="001446E9" w:rsidRPr="00C5743A" w:rsidRDefault="00F54BDD" w:rsidP="0069467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1446E9" w:rsidRPr="00C5743A">
              <w:rPr>
                <w:rFonts w:ascii="Arial" w:hAnsi="Arial" w:cs="Arial"/>
                <w:bCs/>
                <w:sz w:val="18"/>
                <w:szCs w:val="18"/>
              </w:rPr>
              <w:t>$500,000</w:t>
            </w:r>
          </w:p>
        </w:tc>
      </w:tr>
      <w:tr w:rsidR="001446E9" w:rsidRPr="00A9230D" w14:paraId="58204839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9AC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10-455-7999-536-60-6534-P12190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76C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AF35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6FB" w14:textId="77777777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$1,149,222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3E6" w14:textId="096DF483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$1</w:t>
            </w:r>
            <w:r w:rsidR="00972972" w:rsidRPr="00C5743A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CA7E18">
              <w:rPr>
                <w:rFonts w:ascii="Arial" w:hAnsi="Arial" w:cs="Arial"/>
                <w:bCs/>
                <w:sz w:val="18"/>
                <w:szCs w:val="18"/>
              </w:rPr>
              <w:t>5,871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ACB" w14:textId="69850856" w:rsidR="001446E9" w:rsidRPr="00C5743A" w:rsidRDefault="001446E9" w:rsidP="0069467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$1</w:t>
            </w:r>
            <w:r w:rsidR="00284137" w:rsidRPr="00C5743A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5743A">
              <w:rPr>
                <w:rFonts w:ascii="Arial" w:hAnsi="Arial" w:cs="Arial"/>
                <w:bCs/>
                <w:sz w:val="18"/>
                <w:szCs w:val="18"/>
              </w:rPr>
              <w:t>0,000</w:t>
            </w:r>
          </w:p>
        </w:tc>
      </w:tr>
      <w:tr w:rsidR="001446E9" w:rsidRPr="00A9230D" w14:paraId="45112D79" w14:textId="77777777" w:rsidTr="00C31FA1">
        <w:trPr>
          <w:trHeight w:val="31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1AC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iCs/>
                <w:sz w:val="18"/>
                <w:szCs w:val="18"/>
              </w:rPr>
              <w:t>10-471-7999-538-60-6534-P12190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40F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Utilities Asset Management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7F6" w14:textId="77777777" w:rsidR="001446E9" w:rsidRPr="00C5743A" w:rsidRDefault="001446E9" w:rsidP="0069467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Capital Outlay/ Consultant Engineering Fees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385" w14:textId="77777777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$830,116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F0D" w14:textId="0386478E" w:rsidR="001446E9" w:rsidRPr="00C5743A" w:rsidRDefault="001446E9" w:rsidP="009779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$7</w:t>
            </w:r>
            <w:r w:rsidR="00CA7E18">
              <w:rPr>
                <w:rFonts w:ascii="Arial" w:hAnsi="Arial" w:cs="Arial"/>
                <w:bCs/>
                <w:sz w:val="18"/>
                <w:szCs w:val="18"/>
              </w:rPr>
              <w:t>52,432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63C" w14:textId="6F9CBDB9" w:rsidR="001446E9" w:rsidRPr="00C5743A" w:rsidRDefault="001446E9" w:rsidP="0069467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$4</w:t>
            </w:r>
            <w:r w:rsidR="00284137" w:rsidRPr="00C5743A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C5743A">
              <w:rPr>
                <w:rFonts w:ascii="Arial" w:hAnsi="Arial" w:cs="Arial"/>
                <w:bCs/>
                <w:sz w:val="18"/>
                <w:szCs w:val="18"/>
              </w:rPr>
              <w:t>0,000</w:t>
            </w:r>
          </w:p>
        </w:tc>
      </w:tr>
      <w:tr w:rsidR="001446E9" w:rsidRPr="00A9230D" w14:paraId="3C709A98" w14:textId="77777777" w:rsidTr="00C5743A">
        <w:trPr>
          <w:trHeight w:val="375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A6535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96B76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C531B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CDFFD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9DB0F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558260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7771FF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5D044C" w14:textId="77777777" w:rsidR="001446E9" w:rsidRPr="00C5743A" w:rsidRDefault="001446E9" w:rsidP="006946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ACE72" w14:textId="77777777" w:rsidR="001446E9" w:rsidRPr="00C5743A" w:rsidRDefault="001446E9" w:rsidP="006946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 AMOUNT 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88C" w14:textId="18223E7F" w:rsidR="001446E9" w:rsidRPr="00C5743A" w:rsidRDefault="001446E9" w:rsidP="0069467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743A">
              <w:rPr>
                <w:rFonts w:ascii="Arial" w:hAnsi="Arial" w:cs="Arial"/>
                <w:bCs/>
                <w:sz w:val="18"/>
                <w:szCs w:val="18"/>
              </w:rPr>
              <w:t>$2,</w:t>
            </w:r>
            <w:r w:rsidR="00FB7CD5" w:rsidRPr="00C5743A">
              <w:rPr>
                <w:rFonts w:ascii="Arial" w:hAnsi="Arial" w:cs="Arial"/>
                <w:bCs/>
                <w:sz w:val="18"/>
                <w:szCs w:val="18"/>
              </w:rPr>
              <w:t>226,718.10</w:t>
            </w:r>
          </w:p>
        </w:tc>
      </w:tr>
    </w:tbl>
    <w:p w14:paraId="33F3A5BF" w14:textId="1A8DA63F" w:rsidR="00711DF7" w:rsidRPr="00E71CAF" w:rsidRDefault="00711DF7" w:rsidP="00711DF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71CAF">
        <w:rPr>
          <w:rFonts w:ascii="Arial" w:eastAsia="Times New Roman" w:hAnsi="Arial" w:cs="Arial"/>
          <w:i/>
          <w:iCs/>
          <w:sz w:val="20"/>
          <w:szCs w:val="20"/>
        </w:rPr>
        <w:t>*Includes funds in the amount of $</w:t>
      </w:r>
      <w:r w:rsidR="00876AC2">
        <w:rPr>
          <w:rFonts w:ascii="Arial" w:eastAsia="Times New Roman" w:hAnsi="Arial" w:cs="Arial"/>
          <w:i/>
          <w:iCs/>
          <w:sz w:val="20"/>
          <w:szCs w:val="20"/>
        </w:rPr>
        <w:t>500</w:t>
      </w:r>
      <w:r w:rsidRPr="00E71CAF">
        <w:rPr>
          <w:rFonts w:ascii="Arial" w:eastAsia="Times New Roman" w:hAnsi="Arial" w:cs="Arial"/>
          <w:i/>
          <w:iCs/>
          <w:sz w:val="20"/>
          <w:szCs w:val="20"/>
        </w:rPr>
        <w:t>,000 Committed/Available in requisition #1</w:t>
      </w:r>
      <w:r w:rsidR="00F6406A">
        <w:rPr>
          <w:rFonts w:ascii="Arial" w:eastAsia="Times New Roman" w:hAnsi="Arial" w:cs="Arial"/>
          <w:i/>
          <w:iCs/>
          <w:sz w:val="20"/>
          <w:szCs w:val="20"/>
        </w:rPr>
        <w:t>8668</w:t>
      </w:r>
      <w:r w:rsidRPr="00E71CAF">
        <w:rPr>
          <w:rFonts w:ascii="Arial" w:eastAsia="Times New Roman" w:hAnsi="Arial" w:cs="Arial"/>
          <w:i/>
          <w:iCs/>
          <w:sz w:val="20"/>
          <w:szCs w:val="20"/>
        </w:rPr>
        <w:t>.</w:t>
      </w:r>
    </w:p>
    <w:p w14:paraId="4B5B1D48" w14:textId="77777777" w:rsidR="00EB0856" w:rsidRDefault="00EB0856" w:rsidP="00EB0856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65C6B012" w14:textId="75E8AFE8" w:rsidR="00913AF4" w:rsidRPr="00DE6E3A" w:rsidRDefault="00636B0D" w:rsidP="00EB02D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7246913C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supports the </w:t>
      </w:r>
      <w:r w:rsidRPr="003028E8">
        <w:rPr>
          <w:rFonts w:ascii="Arial" w:hAnsi="Arial" w:cs="Arial"/>
          <w:i/>
          <w:sz w:val="24"/>
          <w:szCs w:val="24"/>
        </w:rPr>
        <w:t>Press Play Fort Lauderdale 202</w:t>
      </w:r>
      <w:r>
        <w:rPr>
          <w:rFonts w:ascii="Arial" w:hAnsi="Arial" w:cs="Arial"/>
          <w:i/>
          <w:sz w:val="24"/>
          <w:szCs w:val="24"/>
        </w:rPr>
        <w:t>9</w:t>
      </w:r>
      <w:r w:rsidRPr="003028E8">
        <w:rPr>
          <w:rFonts w:ascii="Arial" w:hAnsi="Arial" w:cs="Arial"/>
          <w:i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Strategic Plan, specifically</w:t>
      </w:r>
      <w:r w:rsidRPr="003028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advancing:</w:t>
      </w:r>
    </w:p>
    <w:p w14:paraId="183EAB9A" w14:textId="77777777" w:rsidR="009F05DE" w:rsidRPr="00A04E51" w:rsidRDefault="009F05DE" w:rsidP="009F05DE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before="42" w:after="0" w:line="240" w:lineRule="auto"/>
        <w:jc w:val="both"/>
        <w:rPr>
          <w:rFonts w:ascii="Arial" w:hAnsi="Arial" w:cs="Arial"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>The Infrastructure Focus</w:t>
      </w:r>
      <w:r w:rsidRPr="003028E8">
        <w:rPr>
          <w:rFonts w:ascii="Arial" w:hAnsi="Arial" w:cs="Arial"/>
          <w:spacing w:val="11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Area</w:t>
      </w:r>
      <w:r>
        <w:rPr>
          <w:rFonts w:ascii="Arial" w:hAnsi="Arial" w:cs="Arial"/>
          <w:sz w:val="24"/>
          <w:szCs w:val="24"/>
        </w:rPr>
        <w:t xml:space="preserve">, </w:t>
      </w:r>
      <w:r w:rsidRPr="00A04E51">
        <w:rPr>
          <w:rFonts w:ascii="Arial" w:hAnsi="Arial" w:cs="Arial"/>
          <w:sz w:val="24"/>
          <w:szCs w:val="24"/>
        </w:rPr>
        <w:t xml:space="preserve">Goal </w:t>
      </w:r>
      <w:r>
        <w:rPr>
          <w:rFonts w:ascii="Arial" w:hAnsi="Arial" w:cs="Arial"/>
          <w:sz w:val="24"/>
          <w:szCs w:val="24"/>
        </w:rPr>
        <w:t>3</w:t>
      </w:r>
      <w:r w:rsidRPr="00A04E51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>e</w:t>
      </w:r>
      <w:r w:rsidRPr="00A04E51">
        <w:rPr>
          <w:rFonts w:ascii="Arial" w:hAnsi="Arial" w:cs="Arial"/>
          <w:sz w:val="24"/>
          <w:szCs w:val="24"/>
        </w:rPr>
        <w:t xml:space="preserve"> a sustainable and resilient community</w:t>
      </w:r>
    </w:p>
    <w:p w14:paraId="3749EFB7" w14:textId="77777777" w:rsidR="009F05DE" w:rsidRPr="00475D21" w:rsidRDefault="009F05DE" w:rsidP="009F05DE">
      <w:pPr>
        <w:tabs>
          <w:tab w:val="left" w:pos="2318"/>
          <w:tab w:val="left" w:pos="2319"/>
        </w:tabs>
        <w:autoSpaceDE w:val="0"/>
        <w:autoSpaceDN w:val="0"/>
        <w:spacing w:before="39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A7DFEDF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8E8">
        <w:rPr>
          <w:rFonts w:ascii="Arial" w:hAnsi="Arial" w:cs="Arial"/>
          <w:sz w:val="24"/>
          <w:szCs w:val="24"/>
        </w:rPr>
        <w:t>Ready</w:t>
      </w:r>
    </w:p>
    <w:p w14:paraId="3EA77E1D" w14:textId="77777777" w:rsidR="009F05DE" w:rsidRDefault="009F05DE" w:rsidP="009F05D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</w:p>
    <w:p w14:paraId="3A9DF4DA" w14:textId="77777777" w:rsidR="009F05DE" w:rsidRPr="003028E8" w:rsidRDefault="009F05DE" w:rsidP="009F05D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58C732A0" w14:textId="77777777" w:rsidR="009F05DE" w:rsidRPr="003028E8" w:rsidRDefault="009F05DE" w:rsidP="009F05D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Infrastructure Focus Area</w:t>
      </w:r>
    </w:p>
    <w:p w14:paraId="48A66EEB" w14:textId="77777777" w:rsidR="00C5743A" w:rsidRDefault="009F05DE" w:rsidP="00C5743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Sanitary Sewer, Water &amp; Stormwater Element</w:t>
      </w:r>
    </w:p>
    <w:p w14:paraId="6507AA2D" w14:textId="78D2C397" w:rsidR="00C73BF8" w:rsidRPr="00C5743A" w:rsidRDefault="009F05DE" w:rsidP="00C5743A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5743A">
        <w:rPr>
          <w:rFonts w:ascii="Arial" w:hAnsi="Arial" w:cs="Arial"/>
          <w:iCs/>
          <w:sz w:val="24"/>
          <w:szCs w:val="24"/>
        </w:rPr>
        <w:t>Goal 3: Develop and maintain an adequate water supply, treatment, and distribution system, which meets the existing and projected needs of the service area in an efficient, economical, and environmentally sensitive manner.</w:t>
      </w:r>
    </w:p>
    <w:p w14:paraId="7266AF81" w14:textId="77777777" w:rsidR="006372AE" w:rsidRPr="002E26B5" w:rsidRDefault="006372AE" w:rsidP="00EB02D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6B24D59" w14:textId="03FD5FDF" w:rsidR="00E52CAD" w:rsidRPr="002E26B5" w:rsidRDefault="00E52CAD" w:rsidP="00EB02D2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0D2DDA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E06A510" w14:textId="17D14CDD" w:rsidR="004A3DE2" w:rsidRPr="004A3DE2" w:rsidRDefault="008849E1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Solicitation </w:t>
      </w:r>
      <w:r w:rsidR="001C150D">
        <w:rPr>
          <w:rFonts w:ascii="Arial" w:hAnsi="Arial" w:cs="Arial"/>
          <w:bCs/>
          <w:sz w:val="24"/>
          <w:szCs w:val="24"/>
        </w:rPr>
        <w:t xml:space="preserve"> </w:t>
      </w:r>
    </w:p>
    <w:p w14:paraId="6FF7275C" w14:textId="36900921" w:rsidR="004A3DE2" w:rsidRPr="004A3DE2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2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 w:rsidRPr="004A3DE2">
        <w:rPr>
          <w:rFonts w:ascii="Arial" w:hAnsi="Arial" w:cs="Arial"/>
          <w:bCs/>
          <w:sz w:val="24"/>
          <w:szCs w:val="24"/>
        </w:rPr>
        <w:t xml:space="preserve"> Final Ranking</w:t>
      </w:r>
    </w:p>
    <w:p w14:paraId="77ADD860" w14:textId="79EEA1C5" w:rsidR="004A3DE2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3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0773C5">
        <w:rPr>
          <w:rFonts w:ascii="Arial" w:hAnsi="Arial" w:cs="Arial"/>
          <w:bCs/>
          <w:sz w:val="24"/>
          <w:szCs w:val="24"/>
        </w:rPr>
        <w:t xml:space="preserve"> Proposal</w:t>
      </w:r>
    </w:p>
    <w:p w14:paraId="7DE337F5" w14:textId="510A1785" w:rsidR="000773C5" w:rsidRDefault="000773C5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1D32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Fee Schedule</w:t>
      </w:r>
    </w:p>
    <w:p w14:paraId="2150C4AC" w14:textId="1272919C" w:rsidR="000773C5" w:rsidRDefault="000773C5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F61E0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D3233" w:rsidRPr="001D3233">
        <w:rPr>
          <w:rFonts w:ascii="Arial" w:hAnsi="Arial" w:cs="Arial"/>
          <w:bCs/>
          <w:sz w:val="24"/>
          <w:szCs w:val="24"/>
        </w:rPr>
        <w:t>Jacobs Engineering Group Inc.</w:t>
      </w:r>
      <w:r w:rsidR="001D32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Agreement </w:t>
      </w:r>
    </w:p>
    <w:p w14:paraId="6A862CA6" w14:textId="126E7D3F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>
        <w:rPr>
          <w:rFonts w:ascii="Arial" w:hAnsi="Arial" w:cs="Arial"/>
          <w:bCs/>
          <w:sz w:val="24"/>
          <w:szCs w:val="24"/>
        </w:rPr>
        <w:t>6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Proposal</w:t>
      </w:r>
    </w:p>
    <w:p w14:paraId="386BDC0F" w14:textId="0B44866A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7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Fee Schedule</w:t>
      </w:r>
    </w:p>
    <w:p w14:paraId="1CE5F9AD" w14:textId="1E5F35D9" w:rsidR="001D3233" w:rsidRPr="004A3DE2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8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Stantec Consulting Services Inc.</w:t>
      </w:r>
      <w:r>
        <w:rPr>
          <w:rFonts w:ascii="Arial" w:hAnsi="Arial" w:cs="Arial"/>
          <w:bCs/>
          <w:sz w:val="24"/>
          <w:szCs w:val="24"/>
        </w:rPr>
        <w:t xml:space="preserve"> Agreement </w:t>
      </w:r>
    </w:p>
    <w:p w14:paraId="1889267A" w14:textId="610AA299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>
        <w:rPr>
          <w:rFonts w:ascii="Arial" w:hAnsi="Arial" w:cs="Arial"/>
          <w:bCs/>
          <w:sz w:val="24"/>
          <w:szCs w:val="24"/>
        </w:rPr>
        <w:t>9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Proposal</w:t>
      </w:r>
    </w:p>
    <w:p w14:paraId="6095DDE0" w14:textId="765440A4" w:rsidR="001D3233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Exhibit 1</w:t>
      </w:r>
      <w:r w:rsidR="00C5743A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Fee Schedule</w:t>
      </w:r>
    </w:p>
    <w:p w14:paraId="706DC61F" w14:textId="6817A53F" w:rsidR="001D3233" w:rsidRPr="004A3DE2" w:rsidRDefault="001D3233" w:rsidP="001D3233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11 </w:t>
      </w:r>
      <w:r w:rsidR="00C5743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D4E3C">
        <w:rPr>
          <w:rFonts w:ascii="Arial" w:hAnsi="Arial" w:cs="Arial"/>
          <w:sz w:val="24"/>
          <w:szCs w:val="24"/>
        </w:rPr>
        <w:t>Woolpert Inc.</w:t>
      </w:r>
      <w:r>
        <w:rPr>
          <w:rFonts w:ascii="Arial" w:hAnsi="Arial" w:cs="Arial"/>
          <w:bCs/>
          <w:sz w:val="24"/>
          <w:szCs w:val="24"/>
        </w:rPr>
        <w:t xml:space="preserve"> Agreement </w:t>
      </w:r>
    </w:p>
    <w:p w14:paraId="2E0952F7" w14:textId="77777777" w:rsidR="004A3DE2" w:rsidRPr="002E26B5" w:rsidRDefault="004A3DE2" w:rsidP="00EB02D2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EB02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87B33F" w14:textId="127D120E" w:rsidR="00C9378A" w:rsidRDefault="00414160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5E1C3C">
        <w:rPr>
          <w:rFonts w:ascii="Arial" w:hAnsi="Arial" w:cs="Arial"/>
          <w:bCs/>
          <w:sz w:val="24"/>
          <w:szCs w:val="24"/>
        </w:rPr>
        <w:tab/>
      </w:r>
      <w:r w:rsidR="00C26B47">
        <w:rPr>
          <w:rFonts w:ascii="Arial" w:hAnsi="Arial" w:cs="Arial"/>
          <w:bCs/>
          <w:sz w:val="24"/>
          <w:szCs w:val="24"/>
        </w:rPr>
        <w:t>Elkin Diaz</w:t>
      </w:r>
      <w:r w:rsidR="00C9378A">
        <w:rPr>
          <w:rFonts w:ascii="Arial" w:hAnsi="Arial" w:cs="Arial"/>
          <w:bCs/>
          <w:sz w:val="24"/>
          <w:szCs w:val="24"/>
        </w:rPr>
        <w:t xml:space="preserve">, </w:t>
      </w:r>
      <w:r w:rsidR="00C26B47">
        <w:rPr>
          <w:rFonts w:ascii="Arial" w:hAnsi="Arial" w:cs="Arial"/>
          <w:bCs/>
          <w:sz w:val="24"/>
          <w:szCs w:val="24"/>
        </w:rPr>
        <w:t xml:space="preserve">Senior </w:t>
      </w:r>
      <w:r w:rsidR="00C9378A">
        <w:rPr>
          <w:rFonts w:ascii="Arial" w:hAnsi="Arial" w:cs="Arial"/>
          <w:bCs/>
          <w:sz w:val="24"/>
          <w:szCs w:val="24"/>
        </w:rPr>
        <w:t>Project Manager, Public Works</w:t>
      </w:r>
    </w:p>
    <w:p w14:paraId="4D6484BE" w14:textId="633D0838" w:rsidR="00C9378A" w:rsidRDefault="00C9378A" w:rsidP="00EB02D2">
      <w:pPr>
        <w:spacing w:after="0" w:line="240" w:lineRule="auto"/>
        <w:ind w:left="2520" w:right="-45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Erick Martinez, Senior Procurement Specialist, </w:t>
      </w:r>
      <w:r w:rsidR="00EB02D2">
        <w:rPr>
          <w:rFonts w:ascii="Arial" w:hAnsi="Arial" w:cs="Arial"/>
          <w:bCs/>
          <w:sz w:val="24"/>
          <w:szCs w:val="24"/>
        </w:rPr>
        <w:t>Procurement Services</w:t>
      </w:r>
    </w:p>
    <w:p w14:paraId="5714121B" w14:textId="3CC8F7BA" w:rsidR="00C9378A" w:rsidRDefault="00C9378A" w:rsidP="00EB02D2">
      <w:pPr>
        <w:spacing w:after="0" w:line="240" w:lineRule="auto"/>
        <w:ind w:left="2520" w:right="-117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4F6E79">
        <w:rPr>
          <w:rFonts w:ascii="Arial" w:hAnsi="Arial" w:cs="Arial"/>
          <w:bCs/>
          <w:sz w:val="24"/>
          <w:szCs w:val="24"/>
        </w:rPr>
        <w:t>Marie Flynn, Administrative Assistant, Procurement Services</w:t>
      </w:r>
    </w:p>
    <w:p w14:paraId="11E29301" w14:textId="77777777" w:rsid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56F75D0" w14:textId="77777777" w:rsid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Directors:</w:t>
      </w:r>
      <w:r>
        <w:rPr>
          <w:rFonts w:ascii="Arial" w:hAnsi="Arial" w:cs="Arial"/>
          <w:bCs/>
          <w:sz w:val="24"/>
          <w:szCs w:val="24"/>
        </w:rPr>
        <w:tab/>
        <w:t>Brad Kaine, Public Works</w:t>
      </w:r>
    </w:p>
    <w:p w14:paraId="1372E8BE" w14:textId="2238435A" w:rsidR="006D638F" w:rsidRDefault="006D638F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Albert Carbon, Utility Services</w:t>
      </w:r>
    </w:p>
    <w:p w14:paraId="32C33BB1" w14:textId="1E439DBA" w:rsidR="00E52CAD" w:rsidRPr="00C9378A" w:rsidRDefault="00C9378A" w:rsidP="00EB02D2">
      <w:pPr>
        <w:spacing w:after="0" w:line="240" w:lineRule="auto"/>
        <w:ind w:left="2520" w:hanging="252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8061E">
        <w:rPr>
          <w:rFonts w:ascii="Arial" w:hAnsi="Arial" w:cs="Arial"/>
          <w:bCs/>
          <w:sz w:val="24"/>
          <w:szCs w:val="24"/>
        </w:rPr>
        <w:t>Glenn Marcos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End w:id="1"/>
      <w:r w:rsidR="00F8061E">
        <w:rPr>
          <w:rFonts w:ascii="Arial" w:hAnsi="Arial" w:cs="Arial"/>
          <w:bCs/>
          <w:sz w:val="24"/>
          <w:szCs w:val="24"/>
        </w:rPr>
        <w:t>Procurement</w:t>
      </w:r>
      <w:r w:rsidR="00EB02D2">
        <w:rPr>
          <w:rFonts w:ascii="Arial" w:hAnsi="Arial" w:cs="Arial"/>
          <w:bCs/>
          <w:sz w:val="24"/>
          <w:szCs w:val="24"/>
        </w:rPr>
        <w:t xml:space="preserve"> Services</w:t>
      </w:r>
    </w:p>
    <w:sectPr w:rsidR="00E52CAD" w:rsidRPr="00C9378A" w:rsidSect="001926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A6CD" w14:textId="77777777" w:rsidR="008762A5" w:rsidRDefault="008762A5" w:rsidP="0088408D">
      <w:pPr>
        <w:spacing w:after="0" w:line="240" w:lineRule="auto"/>
      </w:pPr>
      <w:r>
        <w:separator/>
      </w:r>
    </w:p>
  </w:endnote>
  <w:endnote w:type="continuationSeparator" w:id="0">
    <w:p w14:paraId="2211B161" w14:textId="77777777" w:rsidR="008762A5" w:rsidRDefault="008762A5" w:rsidP="0088408D">
      <w:pPr>
        <w:spacing w:after="0" w:line="240" w:lineRule="auto"/>
      </w:pPr>
      <w:r>
        <w:continuationSeparator/>
      </w:r>
    </w:p>
  </w:endnote>
  <w:endnote w:type="continuationNotice" w:id="1">
    <w:p w14:paraId="60FE3B30" w14:textId="77777777" w:rsidR="008762A5" w:rsidRDefault="00876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0D5301C9" w:rsidR="001D40BA" w:rsidRPr="00483C54" w:rsidRDefault="00764A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CA7E18">
              <w:rPr>
                <w:rFonts w:ascii="Arial" w:hAnsi="Arial" w:cs="Arial"/>
              </w:rPr>
              <w:t>6/16</w:t>
            </w:r>
            <w:r w:rsidR="00636B0D" w:rsidRPr="00483C54">
              <w:rPr>
                <w:rFonts w:ascii="Arial" w:hAnsi="Arial" w:cs="Arial"/>
              </w:rPr>
              <w:t>/</w:t>
            </w:r>
            <w:r w:rsidR="00F8655C" w:rsidRPr="00483C54">
              <w:rPr>
                <w:rFonts w:ascii="Arial" w:hAnsi="Arial" w:cs="Arial"/>
              </w:rPr>
              <w:t>20</w:t>
            </w:r>
            <w:r w:rsidR="00A354D6" w:rsidRPr="00483C54">
              <w:rPr>
                <w:rFonts w:ascii="Arial" w:hAnsi="Arial" w:cs="Arial"/>
              </w:rPr>
              <w:t>2</w:t>
            </w:r>
            <w:r w:rsidR="00B528C2">
              <w:rPr>
                <w:rFonts w:ascii="Arial" w:hAnsi="Arial" w:cs="Arial"/>
              </w:rPr>
              <w:t>6</w:t>
            </w:r>
            <w:r w:rsidR="001D40BA" w:rsidRPr="00483C54">
              <w:rPr>
                <w:rFonts w:ascii="Arial" w:hAnsi="Arial" w:cs="Arial"/>
              </w:rPr>
              <w:tab/>
            </w:r>
            <w:r w:rsidR="001D40BA" w:rsidRPr="00483C54">
              <w:rPr>
                <w:rFonts w:ascii="Arial" w:hAnsi="Arial" w:cs="Arial"/>
              </w:rPr>
              <w:tab/>
              <w:t xml:space="preserve">Page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  <w:r w:rsidR="001D40BA" w:rsidRPr="00483C54">
              <w:rPr>
                <w:rFonts w:ascii="Arial" w:hAnsi="Arial" w:cs="Arial"/>
              </w:rPr>
              <w:t xml:space="preserve"> of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</w:p>
          <w:p w14:paraId="371EFCC0" w14:textId="6AEC98A5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 w:rsidRPr="00483C54">
              <w:rPr>
                <w:rFonts w:ascii="Arial" w:hAnsi="Arial" w:cs="Arial"/>
                <w:bCs/>
              </w:rPr>
              <w:t>CAM #</w:t>
            </w:r>
            <w:r w:rsidR="002E1089" w:rsidRPr="00483C54">
              <w:rPr>
                <w:rFonts w:ascii="Arial" w:hAnsi="Arial" w:cs="Arial"/>
                <w:bCs/>
              </w:rPr>
              <w:t>2</w:t>
            </w:r>
            <w:r w:rsidR="00B528C2">
              <w:rPr>
                <w:rFonts w:ascii="Arial" w:hAnsi="Arial" w:cs="Arial"/>
                <w:bCs/>
              </w:rPr>
              <w:t>6</w:t>
            </w:r>
            <w:r w:rsidR="002E1089" w:rsidRPr="00483C54">
              <w:rPr>
                <w:rFonts w:ascii="Arial" w:hAnsi="Arial" w:cs="Arial"/>
                <w:bCs/>
              </w:rPr>
              <w:t>-</w:t>
            </w:r>
            <w:r w:rsidR="00764A8A">
              <w:rPr>
                <w:rFonts w:ascii="Arial" w:hAnsi="Arial" w:cs="Arial"/>
                <w:bCs/>
              </w:rPr>
              <w:t>0</w:t>
            </w:r>
            <w:r w:rsidR="00C5743A">
              <w:rPr>
                <w:rFonts w:ascii="Arial" w:hAnsi="Arial" w:cs="Arial"/>
                <w:bCs/>
              </w:rPr>
              <w:t>396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9252" w14:textId="77777777" w:rsidR="008762A5" w:rsidRDefault="008762A5" w:rsidP="0088408D">
      <w:pPr>
        <w:spacing w:after="0" w:line="240" w:lineRule="auto"/>
      </w:pPr>
      <w:r>
        <w:separator/>
      </w:r>
    </w:p>
  </w:footnote>
  <w:footnote w:type="continuationSeparator" w:id="0">
    <w:p w14:paraId="2437C250" w14:textId="77777777" w:rsidR="008762A5" w:rsidRDefault="008762A5" w:rsidP="0088408D">
      <w:pPr>
        <w:spacing w:after="0" w:line="240" w:lineRule="auto"/>
      </w:pPr>
      <w:r>
        <w:continuationSeparator/>
      </w:r>
    </w:p>
  </w:footnote>
  <w:footnote w:type="continuationNotice" w:id="1">
    <w:p w14:paraId="7679D372" w14:textId="77777777" w:rsidR="008762A5" w:rsidRDefault="008762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FCE"/>
    <w:multiLevelType w:val="hybridMultilevel"/>
    <w:tmpl w:val="618A4AE4"/>
    <w:lvl w:ilvl="0" w:tplc="4540F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0A2C"/>
    <w:multiLevelType w:val="hybridMultilevel"/>
    <w:tmpl w:val="E814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C7F"/>
    <w:multiLevelType w:val="hybridMultilevel"/>
    <w:tmpl w:val="6A268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93731">
    <w:abstractNumId w:val="0"/>
  </w:num>
  <w:num w:numId="2" w16cid:durableId="937449652">
    <w:abstractNumId w:val="1"/>
  </w:num>
  <w:num w:numId="3" w16cid:durableId="421533089">
    <w:abstractNumId w:val="2"/>
  </w:num>
  <w:num w:numId="4" w16cid:durableId="163977366">
    <w:abstractNumId w:val="9"/>
  </w:num>
  <w:num w:numId="5" w16cid:durableId="1163623606">
    <w:abstractNumId w:val="7"/>
  </w:num>
  <w:num w:numId="6" w16cid:durableId="759830699">
    <w:abstractNumId w:val="10"/>
  </w:num>
  <w:num w:numId="7" w16cid:durableId="1711495568">
    <w:abstractNumId w:val="3"/>
  </w:num>
  <w:num w:numId="8" w16cid:durableId="1247958356">
    <w:abstractNumId w:val="8"/>
  </w:num>
  <w:num w:numId="9" w16cid:durableId="2014457166">
    <w:abstractNumId w:val="5"/>
  </w:num>
  <w:num w:numId="10" w16cid:durableId="1822040636">
    <w:abstractNumId w:val="4"/>
  </w:num>
  <w:num w:numId="11" w16cid:durableId="122224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44C7"/>
    <w:rsid w:val="00005DEA"/>
    <w:rsid w:val="00007132"/>
    <w:rsid w:val="00007FAA"/>
    <w:rsid w:val="00017DC9"/>
    <w:rsid w:val="00031129"/>
    <w:rsid w:val="00031D65"/>
    <w:rsid w:val="000337E2"/>
    <w:rsid w:val="00043D5A"/>
    <w:rsid w:val="00052E42"/>
    <w:rsid w:val="00055E5C"/>
    <w:rsid w:val="000578BC"/>
    <w:rsid w:val="00065FC4"/>
    <w:rsid w:val="00066177"/>
    <w:rsid w:val="000677AD"/>
    <w:rsid w:val="000740BF"/>
    <w:rsid w:val="000773C5"/>
    <w:rsid w:val="00077E53"/>
    <w:rsid w:val="000840F9"/>
    <w:rsid w:val="00084821"/>
    <w:rsid w:val="00087813"/>
    <w:rsid w:val="000916CE"/>
    <w:rsid w:val="0009379A"/>
    <w:rsid w:val="000A0133"/>
    <w:rsid w:val="000A259E"/>
    <w:rsid w:val="000A5215"/>
    <w:rsid w:val="000A5A6C"/>
    <w:rsid w:val="000A7D42"/>
    <w:rsid w:val="000B6F2E"/>
    <w:rsid w:val="000C3C8D"/>
    <w:rsid w:val="000C5A70"/>
    <w:rsid w:val="000D07EF"/>
    <w:rsid w:val="000D2459"/>
    <w:rsid w:val="000D2DDA"/>
    <w:rsid w:val="000E081A"/>
    <w:rsid w:val="000E74E2"/>
    <w:rsid w:val="000E7A4E"/>
    <w:rsid w:val="000F2846"/>
    <w:rsid w:val="000F38CD"/>
    <w:rsid w:val="00101CC4"/>
    <w:rsid w:val="00103EEE"/>
    <w:rsid w:val="00105408"/>
    <w:rsid w:val="001200D4"/>
    <w:rsid w:val="00123D1E"/>
    <w:rsid w:val="001312FC"/>
    <w:rsid w:val="00132A5D"/>
    <w:rsid w:val="00133CE4"/>
    <w:rsid w:val="001446E9"/>
    <w:rsid w:val="001525B6"/>
    <w:rsid w:val="00153AFF"/>
    <w:rsid w:val="001541C1"/>
    <w:rsid w:val="001551A2"/>
    <w:rsid w:val="0016189D"/>
    <w:rsid w:val="00161AA7"/>
    <w:rsid w:val="0016442F"/>
    <w:rsid w:val="00164E44"/>
    <w:rsid w:val="0016661F"/>
    <w:rsid w:val="001713C8"/>
    <w:rsid w:val="00172416"/>
    <w:rsid w:val="00173507"/>
    <w:rsid w:val="001735E1"/>
    <w:rsid w:val="00174C75"/>
    <w:rsid w:val="001777AE"/>
    <w:rsid w:val="00185375"/>
    <w:rsid w:val="0018620A"/>
    <w:rsid w:val="001866AF"/>
    <w:rsid w:val="00187BD8"/>
    <w:rsid w:val="00191462"/>
    <w:rsid w:val="00192682"/>
    <w:rsid w:val="00193C8C"/>
    <w:rsid w:val="001951AE"/>
    <w:rsid w:val="00195CD0"/>
    <w:rsid w:val="00195D42"/>
    <w:rsid w:val="001A265E"/>
    <w:rsid w:val="001A3AFF"/>
    <w:rsid w:val="001A3D15"/>
    <w:rsid w:val="001A501B"/>
    <w:rsid w:val="001A66B1"/>
    <w:rsid w:val="001A66C5"/>
    <w:rsid w:val="001C150D"/>
    <w:rsid w:val="001C1860"/>
    <w:rsid w:val="001C33F0"/>
    <w:rsid w:val="001D229C"/>
    <w:rsid w:val="001D3233"/>
    <w:rsid w:val="001D40BA"/>
    <w:rsid w:val="001D40C2"/>
    <w:rsid w:val="001D45CA"/>
    <w:rsid w:val="001D4EB9"/>
    <w:rsid w:val="001D736B"/>
    <w:rsid w:val="001E2249"/>
    <w:rsid w:val="001E41EF"/>
    <w:rsid w:val="001E4929"/>
    <w:rsid w:val="001E576E"/>
    <w:rsid w:val="001E5C6C"/>
    <w:rsid w:val="001E7587"/>
    <w:rsid w:val="001E7598"/>
    <w:rsid w:val="001F4540"/>
    <w:rsid w:val="001F5259"/>
    <w:rsid w:val="002027CB"/>
    <w:rsid w:val="00204282"/>
    <w:rsid w:val="0020573F"/>
    <w:rsid w:val="00205C30"/>
    <w:rsid w:val="00207E09"/>
    <w:rsid w:val="002122B7"/>
    <w:rsid w:val="00214DB2"/>
    <w:rsid w:val="00221462"/>
    <w:rsid w:val="00230433"/>
    <w:rsid w:val="00233DE2"/>
    <w:rsid w:val="002354FC"/>
    <w:rsid w:val="00245B87"/>
    <w:rsid w:val="00247B74"/>
    <w:rsid w:val="00252EE8"/>
    <w:rsid w:val="00253B40"/>
    <w:rsid w:val="00253E97"/>
    <w:rsid w:val="0025404C"/>
    <w:rsid w:val="00261354"/>
    <w:rsid w:val="002615A9"/>
    <w:rsid w:val="00265008"/>
    <w:rsid w:val="00274992"/>
    <w:rsid w:val="00277A58"/>
    <w:rsid w:val="002816D5"/>
    <w:rsid w:val="00284137"/>
    <w:rsid w:val="00287EE1"/>
    <w:rsid w:val="0029113F"/>
    <w:rsid w:val="00292268"/>
    <w:rsid w:val="00293682"/>
    <w:rsid w:val="002949A1"/>
    <w:rsid w:val="00294E26"/>
    <w:rsid w:val="002A35B1"/>
    <w:rsid w:val="002A6F0D"/>
    <w:rsid w:val="002B0B65"/>
    <w:rsid w:val="002B4273"/>
    <w:rsid w:val="002C04B8"/>
    <w:rsid w:val="002C718F"/>
    <w:rsid w:val="002D1E23"/>
    <w:rsid w:val="002D594F"/>
    <w:rsid w:val="002E1089"/>
    <w:rsid w:val="002E7D36"/>
    <w:rsid w:val="002F4750"/>
    <w:rsid w:val="00302518"/>
    <w:rsid w:val="00302AEC"/>
    <w:rsid w:val="0030363A"/>
    <w:rsid w:val="00304489"/>
    <w:rsid w:val="00304FB0"/>
    <w:rsid w:val="00317687"/>
    <w:rsid w:val="00326047"/>
    <w:rsid w:val="00330E69"/>
    <w:rsid w:val="00335CA7"/>
    <w:rsid w:val="00351528"/>
    <w:rsid w:val="00352CDC"/>
    <w:rsid w:val="00352F62"/>
    <w:rsid w:val="0036201C"/>
    <w:rsid w:val="00366F78"/>
    <w:rsid w:val="00371007"/>
    <w:rsid w:val="003710B9"/>
    <w:rsid w:val="00371422"/>
    <w:rsid w:val="00371535"/>
    <w:rsid w:val="0037582B"/>
    <w:rsid w:val="00381868"/>
    <w:rsid w:val="00384F42"/>
    <w:rsid w:val="00385010"/>
    <w:rsid w:val="00386D42"/>
    <w:rsid w:val="003936BE"/>
    <w:rsid w:val="003942F5"/>
    <w:rsid w:val="00394363"/>
    <w:rsid w:val="003A07C0"/>
    <w:rsid w:val="003A42FC"/>
    <w:rsid w:val="003A4D3B"/>
    <w:rsid w:val="003B0835"/>
    <w:rsid w:val="003B4896"/>
    <w:rsid w:val="003B4970"/>
    <w:rsid w:val="003C196E"/>
    <w:rsid w:val="003C4053"/>
    <w:rsid w:val="003D1EBA"/>
    <w:rsid w:val="003E1B60"/>
    <w:rsid w:val="003E756E"/>
    <w:rsid w:val="003F3C62"/>
    <w:rsid w:val="003F3D2A"/>
    <w:rsid w:val="003F6CD5"/>
    <w:rsid w:val="004122B6"/>
    <w:rsid w:val="00414160"/>
    <w:rsid w:val="00423EA5"/>
    <w:rsid w:val="00426B13"/>
    <w:rsid w:val="00426CEA"/>
    <w:rsid w:val="00427318"/>
    <w:rsid w:val="00432523"/>
    <w:rsid w:val="00433A6B"/>
    <w:rsid w:val="00435E9D"/>
    <w:rsid w:val="004435A7"/>
    <w:rsid w:val="00450455"/>
    <w:rsid w:val="004635DF"/>
    <w:rsid w:val="004637AE"/>
    <w:rsid w:val="00464FCB"/>
    <w:rsid w:val="0048150A"/>
    <w:rsid w:val="00483C54"/>
    <w:rsid w:val="00484532"/>
    <w:rsid w:val="00484AD6"/>
    <w:rsid w:val="00491E27"/>
    <w:rsid w:val="0049200D"/>
    <w:rsid w:val="00493BBB"/>
    <w:rsid w:val="004945DF"/>
    <w:rsid w:val="00494A99"/>
    <w:rsid w:val="004A1B83"/>
    <w:rsid w:val="004A3C62"/>
    <w:rsid w:val="004A3DE2"/>
    <w:rsid w:val="004A519A"/>
    <w:rsid w:val="004A6D1B"/>
    <w:rsid w:val="004B05F0"/>
    <w:rsid w:val="004B0C33"/>
    <w:rsid w:val="004B170C"/>
    <w:rsid w:val="004B5154"/>
    <w:rsid w:val="004C1669"/>
    <w:rsid w:val="004C17F1"/>
    <w:rsid w:val="004C3242"/>
    <w:rsid w:val="004C428B"/>
    <w:rsid w:val="004D4153"/>
    <w:rsid w:val="004F0820"/>
    <w:rsid w:val="004F5DC4"/>
    <w:rsid w:val="004F6E79"/>
    <w:rsid w:val="00507B8B"/>
    <w:rsid w:val="00514DCA"/>
    <w:rsid w:val="00520A38"/>
    <w:rsid w:val="00522D51"/>
    <w:rsid w:val="00523CF6"/>
    <w:rsid w:val="00523D3F"/>
    <w:rsid w:val="0052460F"/>
    <w:rsid w:val="0052498C"/>
    <w:rsid w:val="00524FBD"/>
    <w:rsid w:val="0052557D"/>
    <w:rsid w:val="00527117"/>
    <w:rsid w:val="005311AE"/>
    <w:rsid w:val="005351FA"/>
    <w:rsid w:val="00545813"/>
    <w:rsid w:val="00545BEA"/>
    <w:rsid w:val="00547E37"/>
    <w:rsid w:val="00550CFC"/>
    <w:rsid w:val="00560C6B"/>
    <w:rsid w:val="00561BC5"/>
    <w:rsid w:val="00563B12"/>
    <w:rsid w:val="00564F26"/>
    <w:rsid w:val="00565EB7"/>
    <w:rsid w:val="00566B1E"/>
    <w:rsid w:val="00567B02"/>
    <w:rsid w:val="0057270A"/>
    <w:rsid w:val="0057354C"/>
    <w:rsid w:val="00574699"/>
    <w:rsid w:val="0057743A"/>
    <w:rsid w:val="0058198A"/>
    <w:rsid w:val="00582144"/>
    <w:rsid w:val="00590FD2"/>
    <w:rsid w:val="0059424D"/>
    <w:rsid w:val="00595777"/>
    <w:rsid w:val="00596CEB"/>
    <w:rsid w:val="00597295"/>
    <w:rsid w:val="00597836"/>
    <w:rsid w:val="005A0EA9"/>
    <w:rsid w:val="005A357C"/>
    <w:rsid w:val="005A41B8"/>
    <w:rsid w:val="005A42B3"/>
    <w:rsid w:val="005B4982"/>
    <w:rsid w:val="005B5109"/>
    <w:rsid w:val="005C2AD7"/>
    <w:rsid w:val="005C3183"/>
    <w:rsid w:val="005C5FE8"/>
    <w:rsid w:val="005D2EC9"/>
    <w:rsid w:val="005D5E58"/>
    <w:rsid w:val="005D6A38"/>
    <w:rsid w:val="005D7559"/>
    <w:rsid w:val="005E108D"/>
    <w:rsid w:val="005E1C3C"/>
    <w:rsid w:val="005E641F"/>
    <w:rsid w:val="005F0842"/>
    <w:rsid w:val="005F15CA"/>
    <w:rsid w:val="005F3714"/>
    <w:rsid w:val="005F3B2F"/>
    <w:rsid w:val="005F4E4D"/>
    <w:rsid w:val="005F6E78"/>
    <w:rsid w:val="005F7A4C"/>
    <w:rsid w:val="006031D4"/>
    <w:rsid w:val="00604198"/>
    <w:rsid w:val="00607CC5"/>
    <w:rsid w:val="00610E91"/>
    <w:rsid w:val="00612FD4"/>
    <w:rsid w:val="00614F68"/>
    <w:rsid w:val="0061617D"/>
    <w:rsid w:val="0062175F"/>
    <w:rsid w:val="0062211A"/>
    <w:rsid w:val="0062220A"/>
    <w:rsid w:val="00622FBC"/>
    <w:rsid w:val="006237C8"/>
    <w:rsid w:val="00627101"/>
    <w:rsid w:val="006362F1"/>
    <w:rsid w:val="00636B0D"/>
    <w:rsid w:val="006372AE"/>
    <w:rsid w:val="00644F88"/>
    <w:rsid w:val="00645BB9"/>
    <w:rsid w:val="00652265"/>
    <w:rsid w:val="00656634"/>
    <w:rsid w:val="0066711B"/>
    <w:rsid w:val="00677509"/>
    <w:rsid w:val="00680710"/>
    <w:rsid w:val="00681CB8"/>
    <w:rsid w:val="006859A1"/>
    <w:rsid w:val="006863A6"/>
    <w:rsid w:val="0069273A"/>
    <w:rsid w:val="00693AC3"/>
    <w:rsid w:val="00693F36"/>
    <w:rsid w:val="0069615F"/>
    <w:rsid w:val="006A25F4"/>
    <w:rsid w:val="006A282C"/>
    <w:rsid w:val="006B0655"/>
    <w:rsid w:val="006B2A73"/>
    <w:rsid w:val="006B572C"/>
    <w:rsid w:val="006B5ED6"/>
    <w:rsid w:val="006B673B"/>
    <w:rsid w:val="006B7D48"/>
    <w:rsid w:val="006C3D6C"/>
    <w:rsid w:val="006C5A96"/>
    <w:rsid w:val="006C5B47"/>
    <w:rsid w:val="006C75BC"/>
    <w:rsid w:val="006D16C1"/>
    <w:rsid w:val="006D1BD6"/>
    <w:rsid w:val="006D4E3C"/>
    <w:rsid w:val="006D638F"/>
    <w:rsid w:val="006D7249"/>
    <w:rsid w:val="006E182D"/>
    <w:rsid w:val="006E3253"/>
    <w:rsid w:val="006E58AE"/>
    <w:rsid w:val="006F2832"/>
    <w:rsid w:val="0070130F"/>
    <w:rsid w:val="007036B9"/>
    <w:rsid w:val="00703C2E"/>
    <w:rsid w:val="00704535"/>
    <w:rsid w:val="007074F9"/>
    <w:rsid w:val="007079DB"/>
    <w:rsid w:val="00711DF7"/>
    <w:rsid w:val="0071263C"/>
    <w:rsid w:val="007136E7"/>
    <w:rsid w:val="0072144D"/>
    <w:rsid w:val="00730758"/>
    <w:rsid w:val="0073380B"/>
    <w:rsid w:val="00733826"/>
    <w:rsid w:val="00736974"/>
    <w:rsid w:val="00740037"/>
    <w:rsid w:val="007424B5"/>
    <w:rsid w:val="0074313A"/>
    <w:rsid w:val="00750135"/>
    <w:rsid w:val="007514D4"/>
    <w:rsid w:val="007542B0"/>
    <w:rsid w:val="00764A8A"/>
    <w:rsid w:val="00764D5F"/>
    <w:rsid w:val="00765F82"/>
    <w:rsid w:val="0077311D"/>
    <w:rsid w:val="00774878"/>
    <w:rsid w:val="00775C23"/>
    <w:rsid w:val="00775CC0"/>
    <w:rsid w:val="00775EFD"/>
    <w:rsid w:val="00781FA5"/>
    <w:rsid w:val="007858D1"/>
    <w:rsid w:val="0078745C"/>
    <w:rsid w:val="00794896"/>
    <w:rsid w:val="00795B83"/>
    <w:rsid w:val="00795DBE"/>
    <w:rsid w:val="007A16E0"/>
    <w:rsid w:val="007A1BF0"/>
    <w:rsid w:val="007A5444"/>
    <w:rsid w:val="007A798F"/>
    <w:rsid w:val="007B1E9E"/>
    <w:rsid w:val="007B3490"/>
    <w:rsid w:val="007B3D51"/>
    <w:rsid w:val="007B4028"/>
    <w:rsid w:val="007B5D9A"/>
    <w:rsid w:val="007B7053"/>
    <w:rsid w:val="007C4A18"/>
    <w:rsid w:val="007D2BA5"/>
    <w:rsid w:val="007E2DFF"/>
    <w:rsid w:val="007E3B8E"/>
    <w:rsid w:val="007E57AC"/>
    <w:rsid w:val="007F1B5E"/>
    <w:rsid w:val="007F4E45"/>
    <w:rsid w:val="0080466F"/>
    <w:rsid w:val="008078CE"/>
    <w:rsid w:val="00813847"/>
    <w:rsid w:val="00814E39"/>
    <w:rsid w:val="008212B2"/>
    <w:rsid w:val="00824A1A"/>
    <w:rsid w:val="008314A9"/>
    <w:rsid w:val="008325D7"/>
    <w:rsid w:val="00832748"/>
    <w:rsid w:val="0083442B"/>
    <w:rsid w:val="00835976"/>
    <w:rsid w:val="008400D7"/>
    <w:rsid w:val="00842ABF"/>
    <w:rsid w:val="00844F73"/>
    <w:rsid w:val="008466A4"/>
    <w:rsid w:val="00846DA0"/>
    <w:rsid w:val="00847E78"/>
    <w:rsid w:val="008536F9"/>
    <w:rsid w:val="008674CF"/>
    <w:rsid w:val="00870795"/>
    <w:rsid w:val="008762A5"/>
    <w:rsid w:val="00876AC2"/>
    <w:rsid w:val="00881C0E"/>
    <w:rsid w:val="00882E9C"/>
    <w:rsid w:val="0088408D"/>
    <w:rsid w:val="008849E1"/>
    <w:rsid w:val="00890BB6"/>
    <w:rsid w:val="0089257E"/>
    <w:rsid w:val="008937CD"/>
    <w:rsid w:val="00896896"/>
    <w:rsid w:val="008A06BB"/>
    <w:rsid w:val="008A4D95"/>
    <w:rsid w:val="008C0EBC"/>
    <w:rsid w:val="008C2F00"/>
    <w:rsid w:val="008C6172"/>
    <w:rsid w:val="008C6BD9"/>
    <w:rsid w:val="008D718B"/>
    <w:rsid w:val="008E3F9A"/>
    <w:rsid w:val="008E41CF"/>
    <w:rsid w:val="008E4399"/>
    <w:rsid w:val="008E50B2"/>
    <w:rsid w:val="008E7545"/>
    <w:rsid w:val="008E7BBB"/>
    <w:rsid w:val="008F0320"/>
    <w:rsid w:val="008F6325"/>
    <w:rsid w:val="009111E2"/>
    <w:rsid w:val="009114BB"/>
    <w:rsid w:val="00913AF4"/>
    <w:rsid w:val="00914BC6"/>
    <w:rsid w:val="009160B9"/>
    <w:rsid w:val="00925A30"/>
    <w:rsid w:val="00926756"/>
    <w:rsid w:val="009302EB"/>
    <w:rsid w:val="00930A5A"/>
    <w:rsid w:val="009331E4"/>
    <w:rsid w:val="00934B64"/>
    <w:rsid w:val="0093514A"/>
    <w:rsid w:val="00942E1C"/>
    <w:rsid w:val="009452F8"/>
    <w:rsid w:val="0094555F"/>
    <w:rsid w:val="00956006"/>
    <w:rsid w:val="00960269"/>
    <w:rsid w:val="00960A93"/>
    <w:rsid w:val="00962331"/>
    <w:rsid w:val="00964976"/>
    <w:rsid w:val="0096560E"/>
    <w:rsid w:val="00970078"/>
    <w:rsid w:val="0097030B"/>
    <w:rsid w:val="00971636"/>
    <w:rsid w:val="009727A6"/>
    <w:rsid w:val="00972972"/>
    <w:rsid w:val="00972CCD"/>
    <w:rsid w:val="009755E8"/>
    <w:rsid w:val="0097685D"/>
    <w:rsid w:val="00977986"/>
    <w:rsid w:val="00981A73"/>
    <w:rsid w:val="0098544C"/>
    <w:rsid w:val="00995D62"/>
    <w:rsid w:val="009974A7"/>
    <w:rsid w:val="009A20DE"/>
    <w:rsid w:val="009A3BE8"/>
    <w:rsid w:val="009A5515"/>
    <w:rsid w:val="009C3A47"/>
    <w:rsid w:val="009D1F6F"/>
    <w:rsid w:val="009D38D4"/>
    <w:rsid w:val="009E1939"/>
    <w:rsid w:val="009E6E37"/>
    <w:rsid w:val="009F05DE"/>
    <w:rsid w:val="00A0235F"/>
    <w:rsid w:val="00A03305"/>
    <w:rsid w:val="00A03A5B"/>
    <w:rsid w:val="00A06F6D"/>
    <w:rsid w:val="00A11ADC"/>
    <w:rsid w:val="00A133FF"/>
    <w:rsid w:val="00A16E66"/>
    <w:rsid w:val="00A207CA"/>
    <w:rsid w:val="00A25D21"/>
    <w:rsid w:val="00A27D11"/>
    <w:rsid w:val="00A3223D"/>
    <w:rsid w:val="00A3534E"/>
    <w:rsid w:val="00A354D6"/>
    <w:rsid w:val="00A40A4F"/>
    <w:rsid w:val="00A50B3E"/>
    <w:rsid w:val="00A50F67"/>
    <w:rsid w:val="00A517E5"/>
    <w:rsid w:val="00A53769"/>
    <w:rsid w:val="00A54142"/>
    <w:rsid w:val="00A572B5"/>
    <w:rsid w:val="00A70CBC"/>
    <w:rsid w:val="00A712F8"/>
    <w:rsid w:val="00A7437D"/>
    <w:rsid w:val="00A75B0E"/>
    <w:rsid w:val="00A77BE2"/>
    <w:rsid w:val="00A80C8F"/>
    <w:rsid w:val="00A85A95"/>
    <w:rsid w:val="00A921E4"/>
    <w:rsid w:val="00AA031C"/>
    <w:rsid w:val="00AA1B23"/>
    <w:rsid w:val="00AA3599"/>
    <w:rsid w:val="00AA4490"/>
    <w:rsid w:val="00AB04C9"/>
    <w:rsid w:val="00AB1B24"/>
    <w:rsid w:val="00AB26A7"/>
    <w:rsid w:val="00AB3C53"/>
    <w:rsid w:val="00AC4C96"/>
    <w:rsid w:val="00AD7CEB"/>
    <w:rsid w:val="00AE03CD"/>
    <w:rsid w:val="00AE15A4"/>
    <w:rsid w:val="00AE347F"/>
    <w:rsid w:val="00AE4AAC"/>
    <w:rsid w:val="00AE7C68"/>
    <w:rsid w:val="00AF3D71"/>
    <w:rsid w:val="00AF4173"/>
    <w:rsid w:val="00AF4F7A"/>
    <w:rsid w:val="00AF6571"/>
    <w:rsid w:val="00AF7576"/>
    <w:rsid w:val="00AF75C2"/>
    <w:rsid w:val="00B11A0D"/>
    <w:rsid w:val="00B11B7C"/>
    <w:rsid w:val="00B1377F"/>
    <w:rsid w:val="00B15DFC"/>
    <w:rsid w:val="00B2148C"/>
    <w:rsid w:val="00B24926"/>
    <w:rsid w:val="00B25AD7"/>
    <w:rsid w:val="00B30133"/>
    <w:rsid w:val="00B35B10"/>
    <w:rsid w:val="00B370D3"/>
    <w:rsid w:val="00B4210F"/>
    <w:rsid w:val="00B42846"/>
    <w:rsid w:val="00B443D1"/>
    <w:rsid w:val="00B4583D"/>
    <w:rsid w:val="00B528C2"/>
    <w:rsid w:val="00B53D23"/>
    <w:rsid w:val="00B56D63"/>
    <w:rsid w:val="00B628A9"/>
    <w:rsid w:val="00B65208"/>
    <w:rsid w:val="00B77BE7"/>
    <w:rsid w:val="00B77FFC"/>
    <w:rsid w:val="00B80B5D"/>
    <w:rsid w:val="00B83717"/>
    <w:rsid w:val="00B90988"/>
    <w:rsid w:val="00B934C9"/>
    <w:rsid w:val="00B94F1B"/>
    <w:rsid w:val="00B950D9"/>
    <w:rsid w:val="00B97C9A"/>
    <w:rsid w:val="00BB0B2E"/>
    <w:rsid w:val="00BB5C42"/>
    <w:rsid w:val="00BB5DCC"/>
    <w:rsid w:val="00BC1954"/>
    <w:rsid w:val="00BC2E09"/>
    <w:rsid w:val="00BD4CB2"/>
    <w:rsid w:val="00BF5622"/>
    <w:rsid w:val="00BF5951"/>
    <w:rsid w:val="00BF7322"/>
    <w:rsid w:val="00C00E9C"/>
    <w:rsid w:val="00C01CC2"/>
    <w:rsid w:val="00C03DCB"/>
    <w:rsid w:val="00C054C1"/>
    <w:rsid w:val="00C20C8A"/>
    <w:rsid w:val="00C22B4C"/>
    <w:rsid w:val="00C23F4B"/>
    <w:rsid w:val="00C25E3C"/>
    <w:rsid w:val="00C266A8"/>
    <w:rsid w:val="00C26B47"/>
    <w:rsid w:val="00C31FA1"/>
    <w:rsid w:val="00C33E26"/>
    <w:rsid w:val="00C34BA3"/>
    <w:rsid w:val="00C3555F"/>
    <w:rsid w:val="00C36623"/>
    <w:rsid w:val="00C43095"/>
    <w:rsid w:val="00C500BC"/>
    <w:rsid w:val="00C50D76"/>
    <w:rsid w:val="00C53114"/>
    <w:rsid w:val="00C5743A"/>
    <w:rsid w:val="00C61712"/>
    <w:rsid w:val="00C64FEC"/>
    <w:rsid w:val="00C73BF8"/>
    <w:rsid w:val="00C74CBE"/>
    <w:rsid w:val="00C7507E"/>
    <w:rsid w:val="00C750A9"/>
    <w:rsid w:val="00C777C6"/>
    <w:rsid w:val="00C838EF"/>
    <w:rsid w:val="00C859FD"/>
    <w:rsid w:val="00C9378A"/>
    <w:rsid w:val="00C93A41"/>
    <w:rsid w:val="00C9452F"/>
    <w:rsid w:val="00C9483E"/>
    <w:rsid w:val="00C94891"/>
    <w:rsid w:val="00C96BBC"/>
    <w:rsid w:val="00CA4ECA"/>
    <w:rsid w:val="00CA5A9F"/>
    <w:rsid w:val="00CA648F"/>
    <w:rsid w:val="00CA6D5D"/>
    <w:rsid w:val="00CA7E18"/>
    <w:rsid w:val="00CB21F6"/>
    <w:rsid w:val="00CB57CB"/>
    <w:rsid w:val="00CB7FC7"/>
    <w:rsid w:val="00CC0765"/>
    <w:rsid w:val="00CC666B"/>
    <w:rsid w:val="00CD0D52"/>
    <w:rsid w:val="00CD3ACB"/>
    <w:rsid w:val="00CD7042"/>
    <w:rsid w:val="00CE75F8"/>
    <w:rsid w:val="00CF2530"/>
    <w:rsid w:val="00CF312F"/>
    <w:rsid w:val="00D01F26"/>
    <w:rsid w:val="00D0296B"/>
    <w:rsid w:val="00D051C8"/>
    <w:rsid w:val="00D06A13"/>
    <w:rsid w:val="00D15F55"/>
    <w:rsid w:val="00D1746D"/>
    <w:rsid w:val="00D22949"/>
    <w:rsid w:val="00D24D92"/>
    <w:rsid w:val="00D24F8F"/>
    <w:rsid w:val="00D26C34"/>
    <w:rsid w:val="00D27A36"/>
    <w:rsid w:val="00D27C1B"/>
    <w:rsid w:val="00D410AE"/>
    <w:rsid w:val="00D41278"/>
    <w:rsid w:val="00D44227"/>
    <w:rsid w:val="00D45FFE"/>
    <w:rsid w:val="00D55D5F"/>
    <w:rsid w:val="00D5731F"/>
    <w:rsid w:val="00D60A46"/>
    <w:rsid w:val="00D61C50"/>
    <w:rsid w:val="00D704F3"/>
    <w:rsid w:val="00D7477E"/>
    <w:rsid w:val="00D8055E"/>
    <w:rsid w:val="00D8579D"/>
    <w:rsid w:val="00D8609D"/>
    <w:rsid w:val="00D901ED"/>
    <w:rsid w:val="00D91982"/>
    <w:rsid w:val="00D932EC"/>
    <w:rsid w:val="00DA7265"/>
    <w:rsid w:val="00DB5720"/>
    <w:rsid w:val="00DC0F92"/>
    <w:rsid w:val="00DC194E"/>
    <w:rsid w:val="00DC781D"/>
    <w:rsid w:val="00DD05FA"/>
    <w:rsid w:val="00DD3EFF"/>
    <w:rsid w:val="00DD425B"/>
    <w:rsid w:val="00DD4DE0"/>
    <w:rsid w:val="00DD4F80"/>
    <w:rsid w:val="00DE1C13"/>
    <w:rsid w:val="00DE6E3A"/>
    <w:rsid w:val="00DE6FAD"/>
    <w:rsid w:val="00DF055F"/>
    <w:rsid w:val="00DF6257"/>
    <w:rsid w:val="00E0367D"/>
    <w:rsid w:val="00E1173A"/>
    <w:rsid w:val="00E11948"/>
    <w:rsid w:val="00E13894"/>
    <w:rsid w:val="00E2332D"/>
    <w:rsid w:val="00E2421D"/>
    <w:rsid w:val="00E257E5"/>
    <w:rsid w:val="00E2587E"/>
    <w:rsid w:val="00E315B2"/>
    <w:rsid w:val="00E34E9C"/>
    <w:rsid w:val="00E36803"/>
    <w:rsid w:val="00E40D17"/>
    <w:rsid w:val="00E42A39"/>
    <w:rsid w:val="00E453E1"/>
    <w:rsid w:val="00E47FE8"/>
    <w:rsid w:val="00E5102B"/>
    <w:rsid w:val="00E51BB4"/>
    <w:rsid w:val="00E51DCD"/>
    <w:rsid w:val="00E52CAD"/>
    <w:rsid w:val="00E547C4"/>
    <w:rsid w:val="00E55531"/>
    <w:rsid w:val="00E601D4"/>
    <w:rsid w:val="00E60772"/>
    <w:rsid w:val="00E6213F"/>
    <w:rsid w:val="00E62C51"/>
    <w:rsid w:val="00E65634"/>
    <w:rsid w:val="00E656C4"/>
    <w:rsid w:val="00E67454"/>
    <w:rsid w:val="00E67A2D"/>
    <w:rsid w:val="00E7019A"/>
    <w:rsid w:val="00E74968"/>
    <w:rsid w:val="00E82E2D"/>
    <w:rsid w:val="00E8604F"/>
    <w:rsid w:val="00E916E9"/>
    <w:rsid w:val="00E92203"/>
    <w:rsid w:val="00E96FD7"/>
    <w:rsid w:val="00EA0BAD"/>
    <w:rsid w:val="00EA4F14"/>
    <w:rsid w:val="00EB02D2"/>
    <w:rsid w:val="00EB0856"/>
    <w:rsid w:val="00EB0F14"/>
    <w:rsid w:val="00EB1D96"/>
    <w:rsid w:val="00EB3BE4"/>
    <w:rsid w:val="00EB3D6C"/>
    <w:rsid w:val="00EC127C"/>
    <w:rsid w:val="00EC1F5A"/>
    <w:rsid w:val="00EC23F7"/>
    <w:rsid w:val="00ED29EA"/>
    <w:rsid w:val="00ED2FBA"/>
    <w:rsid w:val="00ED4449"/>
    <w:rsid w:val="00ED529E"/>
    <w:rsid w:val="00ED68A4"/>
    <w:rsid w:val="00EE0A04"/>
    <w:rsid w:val="00EE12A9"/>
    <w:rsid w:val="00EE3065"/>
    <w:rsid w:val="00EE5934"/>
    <w:rsid w:val="00EE75E2"/>
    <w:rsid w:val="00EF7E8E"/>
    <w:rsid w:val="00F03D31"/>
    <w:rsid w:val="00F0456E"/>
    <w:rsid w:val="00F04DE6"/>
    <w:rsid w:val="00F0627C"/>
    <w:rsid w:val="00F06B9B"/>
    <w:rsid w:val="00F15620"/>
    <w:rsid w:val="00F234DA"/>
    <w:rsid w:val="00F27140"/>
    <w:rsid w:val="00F30E40"/>
    <w:rsid w:val="00F41C0C"/>
    <w:rsid w:val="00F42C3B"/>
    <w:rsid w:val="00F461FF"/>
    <w:rsid w:val="00F51CAB"/>
    <w:rsid w:val="00F51FE5"/>
    <w:rsid w:val="00F54BDD"/>
    <w:rsid w:val="00F56FB9"/>
    <w:rsid w:val="00F61E05"/>
    <w:rsid w:val="00F625AD"/>
    <w:rsid w:val="00F6406A"/>
    <w:rsid w:val="00F75AE6"/>
    <w:rsid w:val="00F75C26"/>
    <w:rsid w:val="00F8061E"/>
    <w:rsid w:val="00F86506"/>
    <w:rsid w:val="00F8655C"/>
    <w:rsid w:val="00F869D7"/>
    <w:rsid w:val="00F90784"/>
    <w:rsid w:val="00F9250D"/>
    <w:rsid w:val="00F9454C"/>
    <w:rsid w:val="00FB1344"/>
    <w:rsid w:val="00FB139D"/>
    <w:rsid w:val="00FB1529"/>
    <w:rsid w:val="00FB3190"/>
    <w:rsid w:val="00FB54B2"/>
    <w:rsid w:val="00FB7CD5"/>
    <w:rsid w:val="00FC2EBA"/>
    <w:rsid w:val="00FC3AEF"/>
    <w:rsid w:val="00FC52E0"/>
    <w:rsid w:val="00FC7DBF"/>
    <w:rsid w:val="00FD12A9"/>
    <w:rsid w:val="00FD68E9"/>
    <w:rsid w:val="00FE3CE9"/>
    <w:rsid w:val="00FE4771"/>
    <w:rsid w:val="00FF2763"/>
    <w:rsid w:val="00FF3C4C"/>
    <w:rsid w:val="172CBCD8"/>
    <w:rsid w:val="2B19C6D1"/>
    <w:rsid w:val="3CD3900D"/>
    <w:rsid w:val="4F9597A8"/>
    <w:rsid w:val="579A4BC9"/>
    <w:rsid w:val="7BB08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DFBEEACA-6676-46A1-B946-8DC6FAA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table" w:customStyle="1" w:styleId="TableGrid1">
    <w:name w:val="Table Grid1"/>
    <w:basedOn w:val="TableNormal"/>
    <w:next w:val="TableGrid"/>
    <w:uiPriority w:val="59"/>
    <w:rsid w:val="00704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8E5EBF87484A84E61C04CFF12220" ma:contentTypeVersion="18" ma:contentTypeDescription="Create a new document." ma:contentTypeScope="" ma:versionID="6ed2dcff921c5c7a7923fe36f4cfec8d">
  <xsd:schema xmlns:xsd="http://www.w3.org/2001/XMLSchema" xmlns:xs="http://www.w3.org/2001/XMLSchema" xmlns:p="http://schemas.microsoft.com/office/2006/metadata/properties" xmlns:ns2="802584d1-8711-444e-a687-0c3660f399a1" xmlns:ns3="4e53b9b8-0343-4c90-a6cf-cf9586f7535b" targetNamespace="http://schemas.microsoft.com/office/2006/metadata/properties" ma:root="true" ma:fieldsID="0c22d6f30f1d9d3423a4467e871e4852" ns2:_="" ns3:_="">
    <xsd:import namespace="802584d1-8711-444e-a687-0c3660f399a1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84d1-8711-444e-a687-0c3660f3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584d1-8711-444e-a687-0c3660f399a1">
      <Terms xmlns="http://schemas.microsoft.com/office/infopath/2007/PartnerControls"/>
    </lcf76f155ced4ddcb4097134ff3c332f>
    <TaxCatchAll xmlns="4e53b9b8-0343-4c90-a6cf-cf9586f753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0A3F-6248-432C-8DF8-EC3C629D5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E9577-51FE-451D-A94F-39C6B24B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584d1-8711-444e-a687-0c3660f399a1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EB695-1982-47AE-823D-ADEE59F9552F}">
  <ds:schemaRefs>
    <ds:schemaRef ds:uri="http://schemas.microsoft.com/office/2006/metadata/properties"/>
    <ds:schemaRef ds:uri="http://schemas.microsoft.com/office/infopath/2007/PartnerControls"/>
    <ds:schemaRef ds:uri="802584d1-8711-444e-a687-0c3660f399a1"/>
    <ds:schemaRef ds:uri="4e53b9b8-0343-4c90-a6cf-cf9586f7535b"/>
  </ds:schemaRefs>
</ds:datastoreItem>
</file>

<file path=customXml/itemProps4.xml><?xml version="1.0" encoding="utf-8"?>
<ds:datastoreItem xmlns:ds="http://schemas.openxmlformats.org/officeDocument/2006/customXml" ds:itemID="{A51EC341-0509-481A-BDAB-F937A5896A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dc:description/>
  <cp:lastModifiedBy>Rickelle Williams</cp:lastModifiedBy>
  <cp:revision>5</cp:revision>
  <cp:lastPrinted>2025-05-20T14:00:00Z</cp:lastPrinted>
  <dcterms:created xsi:type="dcterms:W3CDTF">2026-05-21T15:09:00Z</dcterms:created>
  <dcterms:modified xsi:type="dcterms:W3CDTF">2026-06-07T12:46:00Z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0x01010006988E5EBF87484A84E61C04CFF12220</vt:lpwstr>
  </property>
</Properties>
</file>