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962F2" w14:textId="7E3AE86A" w:rsidR="00875768" w:rsidRPr="00A57A4B" w:rsidRDefault="003E12D4" w:rsidP="004F6568">
      <w:pPr>
        <w:pBdr>
          <w:bottom w:val="single" w:sz="4" w:space="1" w:color="auto"/>
        </w:pBdr>
        <w:spacing w:after="0"/>
        <w:rPr>
          <w:rFonts w:ascii="Century Gothic" w:hAnsi="Century Gothic"/>
          <w:b/>
          <w:sz w:val="36"/>
          <w:szCs w:val="36"/>
        </w:rPr>
      </w:pPr>
      <w:r w:rsidRPr="00A57A4B">
        <w:rPr>
          <w:rFonts w:ascii="Century Gothic" w:hAnsi="Century Gothic"/>
          <w:b/>
          <w:sz w:val="36"/>
          <w:szCs w:val="36"/>
        </w:rPr>
        <w:t xml:space="preserve">Fiscal Policies – </w:t>
      </w:r>
      <w:r w:rsidR="004E723F" w:rsidRPr="00A57A4B">
        <w:rPr>
          <w:rFonts w:ascii="Century Gothic" w:hAnsi="Century Gothic"/>
          <w:b/>
          <w:sz w:val="36"/>
          <w:szCs w:val="36"/>
        </w:rPr>
        <w:t>Committed,</w:t>
      </w:r>
      <w:r w:rsidR="00875768" w:rsidRPr="00A57A4B">
        <w:rPr>
          <w:rFonts w:ascii="Century Gothic" w:hAnsi="Century Gothic"/>
          <w:b/>
          <w:sz w:val="36"/>
          <w:szCs w:val="36"/>
        </w:rPr>
        <w:t xml:space="preserve"> Unassigned Fund Balance</w:t>
      </w:r>
      <w:r w:rsidR="00A94AC9" w:rsidRPr="00A57A4B">
        <w:rPr>
          <w:rFonts w:ascii="Century Gothic" w:hAnsi="Century Gothic"/>
          <w:b/>
          <w:sz w:val="36"/>
          <w:szCs w:val="36"/>
        </w:rPr>
        <w:t>,</w:t>
      </w:r>
      <w:r w:rsidR="00875768" w:rsidRPr="00A57A4B">
        <w:rPr>
          <w:rFonts w:ascii="Century Gothic" w:hAnsi="Century Gothic"/>
          <w:b/>
          <w:sz w:val="36"/>
          <w:szCs w:val="36"/>
        </w:rPr>
        <w:t xml:space="preserve"> and Use of One Time Funds Policy</w:t>
      </w:r>
    </w:p>
    <w:p w14:paraId="0A68E915" w14:textId="77777777" w:rsidR="004F6568" w:rsidRPr="004F6568" w:rsidRDefault="004F6568" w:rsidP="004F6568">
      <w:pPr>
        <w:spacing w:after="0"/>
        <w:rPr>
          <w:rFonts w:ascii="Century Gothic" w:hAnsi="Century Gothic"/>
          <w:b/>
        </w:rPr>
      </w:pPr>
    </w:p>
    <w:p w14:paraId="3045BAFA" w14:textId="77777777" w:rsidR="00875768" w:rsidRDefault="00875768" w:rsidP="00875768">
      <w:pPr>
        <w:pBdr>
          <w:top w:val="single" w:sz="4" w:space="1" w:color="D9D9D9" w:themeColor="background1" w:themeShade="D9"/>
          <w:left w:val="single" w:sz="4" w:space="4" w:color="D9D9D9" w:themeColor="background1" w:themeShade="D9"/>
          <w:bottom w:val="single" w:sz="4" w:space="1" w:color="D9D9D9" w:themeColor="background1" w:themeShade="D9"/>
        </w:pBdr>
        <w:shd w:val="clear" w:color="auto" w:fill="D9D9D9" w:themeFill="background1" w:themeFillShade="D9"/>
        <w:spacing w:after="0"/>
        <w:jc w:val="both"/>
        <w:rPr>
          <w:rFonts w:ascii="Palatino Linotype" w:hAnsi="Palatino Linotype"/>
          <w:b/>
        </w:rPr>
      </w:pPr>
      <w:r>
        <w:rPr>
          <w:rFonts w:ascii="Palatino Linotype" w:hAnsi="Palatino Linotype"/>
          <w:b/>
        </w:rPr>
        <w:t>PURPOSE</w:t>
      </w:r>
    </w:p>
    <w:p w14:paraId="7E22D338" w14:textId="77777777" w:rsidR="00875768" w:rsidRPr="00B7279D" w:rsidRDefault="00875768" w:rsidP="00875768">
      <w:pPr>
        <w:spacing w:after="0"/>
        <w:jc w:val="both"/>
        <w:rPr>
          <w:rFonts w:ascii="Palatino Linotype" w:hAnsi="Palatino Linotype"/>
        </w:rPr>
      </w:pPr>
      <w:r>
        <w:rPr>
          <w:rFonts w:ascii="Palatino Linotype" w:hAnsi="Palatino Linotype"/>
        </w:rPr>
        <w:t>To establish assigned and unassigned fund balance and one time use policies.</w:t>
      </w:r>
    </w:p>
    <w:p w14:paraId="190E19B6" w14:textId="77777777" w:rsidR="00875768" w:rsidRDefault="00875768" w:rsidP="00875768">
      <w:pPr>
        <w:spacing w:after="0"/>
        <w:jc w:val="both"/>
        <w:rPr>
          <w:rFonts w:ascii="Palatino Linotype" w:hAnsi="Palatino Linotype"/>
          <w:b/>
        </w:rPr>
      </w:pPr>
    </w:p>
    <w:p w14:paraId="4CFD1317" w14:textId="77777777" w:rsidR="00875768" w:rsidRDefault="00875768" w:rsidP="00875768">
      <w:pPr>
        <w:pBdr>
          <w:top w:val="single" w:sz="4" w:space="0" w:color="D9D9D9" w:themeColor="background1" w:themeShade="D9"/>
          <w:left w:val="single" w:sz="4" w:space="4" w:color="D9D9D9" w:themeColor="background1" w:themeShade="D9"/>
          <w:bottom w:val="single" w:sz="4" w:space="1" w:color="D9D9D9" w:themeColor="background1" w:themeShade="D9"/>
        </w:pBdr>
        <w:shd w:val="clear" w:color="auto" w:fill="D9D9D9" w:themeFill="background1" w:themeFillShade="D9"/>
        <w:spacing w:after="0"/>
        <w:jc w:val="both"/>
        <w:rPr>
          <w:rFonts w:ascii="Palatino Linotype" w:hAnsi="Palatino Linotype"/>
          <w:b/>
        </w:rPr>
      </w:pPr>
      <w:r>
        <w:rPr>
          <w:rFonts w:ascii="Palatino Linotype" w:hAnsi="Palatino Linotype"/>
          <w:b/>
        </w:rPr>
        <w:t xml:space="preserve">SCOPE </w:t>
      </w:r>
    </w:p>
    <w:p w14:paraId="23D22722" w14:textId="77777777" w:rsidR="00875768" w:rsidRPr="00B7279D" w:rsidRDefault="00875768" w:rsidP="00875768">
      <w:pPr>
        <w:spacing w:after="0"/>
        <w:jc w:val="both"/>
        <w:rPr>
          <w:rFonts w:ascii="Palatino Linotype" w:hAnsi="Palatino Linotype"/>
        </w:rPr>
      </w:pPr>
      <w:r>
        <w:rPr>
          <w:rFonts w:ascii="Palatino Linotype" w:hAnsi="Palatino Linotype"/>
        </w:rPr>
        <w:t>The General Fund and Capital Funds.</w:t>
      </w:r>
    </w:p>
    <w:p w14:paraId="50340BA8" w14:textId="77777777" w:rsidR="00875768" w:rsidRDefault="00875768" w:rsidP="00875768">
      <w:pPr>
        <w:spacing w:after="0"/>
        <w:jc w:val="both"/>
        <w:rPr>
          <w:rFonts w:ascii="Palatino Linotype" w:hAnsi="Palatino Linotype"/>
          <w:b/>
        </w:rPr>
      </w:pPr>
    </w:p>
    <w:p w14:paraId="77B010BB" w14:textId="77777777" w:rsidR="00875768" w:rsidRDefault="00875768" w:rsidP="00875768">
      <w:pPr>
        <w:pBdr>
          <w:top w:val="single" w:sz="4" w:space="1" w:color="D9D9D9" w:themeColor="background1" w:themeShade="D9"/>
          <w:left w:val="single" w:sz="4" w:space="4" w:color="D9D9D9" w:themeColor="background1" w:themeShade="D9"/>
          <w:bottom w:val="single" w:sz="4" w:space="1" w:color="D9D9D9" w:themeColor="background1" w:themeShade="D9"/>
        </w:pBdr>
        <w:shd w:val="clear" w:color="auto" w:fill="D9D9D9" w:themeFill="background1" w:themeFillShade="D9"/>
        <w:spacing w:after="0"/>
        <w:jc w:val="both"/>
        <w:rPr>
          <w:rFonts w:ascii="Palatino Linotype" w:hAnsi="Palatino Linotype"/>
          <w:b/>
        </w:rPr>
      </w:pPr>
      <w:r>
        <w:rPr>
          <w:rFonts w:ascii="Palatino Linotype" w:hAnsi="Palatino Linotype"/>
          <w:b/>
        </w:rPr>
        <w:t>POLICY</w:t>
      </w:r>
    </w:p>
    <w:p w14:paraId="387EDAEF" w14:textId="6126D8D8" w:rsidR="00875768" w:rsidRDefault="00875768" w:rsidP="00875768">
      <w:pPr>
        <w:spacing w:after="0"/>
        <w:jc w:val="both"/>
        <w:rPr>
          <w:rFonts w:ascii="Palatino Linotype" w:hAnsi="Palatino Linotype"/>
        </w:rPr>
      </w:pPr>
      <w:r>
        <w:rPr>
          <w:rFonts w:ascii="Palatino Linotype" w:hAnsi="Palatino Linotype"/>
        </w:rPr>
        <w:t xml:space="preserve">To maintain sufficient </w:t>
      </w:r>
      <w:r w:rsidR="00C47393" w:rsidRPr="00943529">
        <w:rPr>
          <w:rFonts w:ascii="Palatino Linotype" w:hAnsi="Palatino Linotype"/>
        </w:rPr>
        <w:t>committed</w:t>
      </w:r>
      <w:r w:rsidR="00C47393">
        <w:rPr>
          <w:rFonts w:ascii="Palatino Linotype" w:hAnsi="Palatino Linotype"/>
        </w:rPr>
        <w:t xml:space="preserve"> </w:t>
      </w:r>
      <w:r>
        <w:rPr>
          <w:rFonts w:ascii="Palatino Linotype" w:hAnsi="Palatino Linotype"/>
        </w:rPr>
        <w:t>and unassigned fund balance (general fund only) in each fund for the ability to meet following economic uncertainties:</w:t>
      </w:r>
    </w:p>
    <w:p w14:paraId="75A1C62F" w14:textId="77777777" w:rsidR="00875768" w:rsidRDefault="00875768" w:rsidP="00875768">
      <w:pPr>
        <w:spacing w:after="0"/>
        <w:jc w:val="both"/>
        <w:rPr>
          <w:rFonts w:ascii="Palatino Linotype" w:hAnsi="Palatino Linotype"/>
        </w:rPr>
      </w:pPr>
    </w:p>
    <w:p w14:paraId="5A3CDE3A" w14:textId="1FBAF9FC" w:rsidR="00875768" w:rsidRDefault="00875768" w:rsidP="00875768">
      <w:pPr>
        <w:spacing w:after="0"/>
        <w:jc w:val="both"/>
        <w:rPr>
          <w:rFonts w:ascii="Palatino Linotype" w:hAnsi="Palatino Linotype"/>
        </w:rPr>
      </w:pPr>
      <w:r w:rsidRPr="00693D76">
        <w:rPr>
          <w:rFonts w:ascii="Palatino Linotype" w:hAnsi="Palatino Linotype"/>
          <w:b/>
        </w:rPr>
        <w:t>Economic Uncertainty</w:t>
      </w:r>
      <w:r w:rsidR="00C45534">
        <w:rPr>
          <w:rFonts w:ascii="Palatino Linotype" w:hAnsi="Palatino Linotype"/>
          <w:b/>
        </w:rPr>
        <w:t xml:space="preserve"> </w:t>
      </w:r>
      <w:r>
        <w:rPr>
          <w:rFonts w:ascii="Palatino Linotype" w:hAnsi="Palatino Linotype"/>
        </w:rPr>
        <w:t>–</w:t>
      </w:r>
      <w:r w:rsidR="00C45534">
        <w:rPr>
          <w:rFonts w:ascii="Palatino Linotype" w:hAnsi="Palatino Linotype"/>
        </w:rPr>
        <w:t xml:space="preserve"> </w:t>
      </w:r>
      <w:r>
        <w:rPr>
          <w:rFonts w:ascii="Palatino Linotype" w:hAnsi="Palatino Linotype"/>
        </w:rPr>
        <w:t>$</w:t>
      </w:r>
      <w:r w:rsidR="00476D9C">
        <w:rPr>
          <w:rFonts w:ascii="Palatino Linotype" w:hAnsi="Palatino Linotype"/>
        </w:rPr>
        <w:t>24</w:t>
      </w:r>
      <w:r w:rsidRPr="008D293D">
        <w:rPr>
          <w:rFonts w:ascii="Palatino Linotype" w:hAnsi="Palatino Linotype"/>
        </w:rPr>
        <w:t xml:space="preserve">,000,000 and represents two months of General Fund (GF) operating expenditures excluding transfers </w:t>
      </w:r>
      <w:r>
        <w:rPr>
          <w:rFonts w:ascii="Palatino Linotype" w:hAnsi="Palatino Linotype"/>
        </w:rPr>
        <w:t xml:space="preserve">out </w:t>
      </w:r>
      <w:r w:rsidRPr="008A53F1">
        <w:rPr>
          <w:rFonts w:ascii="Palatino Linotype" w:hAnsi="Palatino Linotype"/>
        </w:rPr>
        <w:t>plus a two year drop in total general fund revenue of 13% or approximately 1.5 months, excluding the use of reserves</w:t>
      </w:r>
      <w:r>
        <w:rPr>
          <w:rFonts w:ascii="Palatino Linotype" w:hAnsi="Palatino Linotype"/>
        </w:rPr>
        <w:t>.  Transfers out are primarily used to fund Capital Projects and do not represent on</w:t>
      </w:r>
      <w:r w:rsidR="00821B84">
        <w:rPr>
          <w:rFonts w:ascii="Palatino Linotype" w:hAnsi="Palatino Linotype"/>
        </w:rPr>
        <w:t>-</w:t>
      </w:r>
      <w:r>
        <w:rPr>
          <w:rFonts w:ascii="Palatino Linotype" w:hAnsi="Palatino Linotype"/>
        </w:rPr>
        <w:t>going expenditures.  This assignment will change from year to year based on budgeted general fund expenditures and revenues.</w:t>
      </w:r>
    </w:p>
    <w:p w14:paraId="6C26394D" w14:textId="15A46E10" w:rsidR="00875768" w:rsidRDefault="00875768" w:rsidP="00875768">
      <w:pPr>
        <w:pStyle w:val="ListParagraph"/>
        <w:numPr>
          <w:ilvl w:val="0"/>
          <w:numId w:val="11"/>
        </w:numPr>
        <w:spacing w:after="0"/>
        <w:jc w:val="both"/>
        <w:rPr>
          <w:rFonts w:ascii="Palatino Linotype" w:hAnsi="Palatino Linotype"/>
        </w:rPr>
      </w:pPr>
      <w:r w:rsidRPr="00B82C67">
        <w:rPr>
          <w:rFonts w:ascii="Palatino Linotype" w:hAnsi="Palatino Linotype"/>
        </w:rPr>
        <w:t xml:space="preserve">Mitigate short-term economic downturns </w:t>
      </w:r>
      <w:r>
        <w:rPr>
          <w:rFonts w:ascii="Palatino Linotype" w:hAnsi="Palatino Linotype"/>
        </w:rPr>
        <w:t xml:space="preserve">and volatility in revenues </w:t>
      </w:r>
      <w:r w:rsidRPr="00B82C67">
        <w:rPr>
          <w:rFonts w:ascii="Palatino Linotype" w:hAnsi="Palatino Linotype"/>
        </w:rPr>
        <w:t>(2 years or less)</w:t>
      </w:r>
    </w:p>
    <w:p w14:paraId="11711DD6" w14:textId="77777777" w:rsidR="00875768" w:rsidRPr="00B82C67" w:rsidRDefault="00875768" w:rsidP="00875768">
      <w:pPr>
        <w:pStyle w:val="ListParagraph"/>
        <w:numPr>
          <w:ilvl w:val="0"/>
          <w:numId w:val="11"/>
        </w:numPr>
        <w:spacing w:after="0"/>
        <w:jc w:val="both"/>
        <w:rPr>
          <w:rFonts w:ascii="Palatino Linotype" w:hAnsi="Palatino Linotype"/>
        </w:rPr>
      </w:pPr>
      <w:r w:rsidRPr="00B82C67">
        <w:rPr>
          <w:rFonts w:ascii="Palatino Linotype" w:hAnsi="Palatino Linotype"/>
        </w:rPr>
        <w:t>Sustain city services in the event of an emergency</w:t>
      </w:r>
    </w:p>
    <w:p w14:paraId="3B924CB8" w14:textId="77777777" w:rsidR="00875768" w:rsidRDefault="00875768" w:rsidP="00875768">
      <w:pPr>
        <w:pStyle w:val="ListParagraph"/>
        <w:numPr>
          <w:ilvl w:val="0"/>
          <w:numId w:val="11"/>
        </w:numPr>
        <w:spacing w:after="0"/>
        <w:jc w:val="both"/>
        <w:rPr>
          <w:rFonts w:ascii="Palatino Linotype" w:hAnsi="Palatino Linotype"/>
        </w:rPr>
      </w:pPr>
      <w:r w:rsidRPr="00DF576B">
        <w:rPr>
          <w:rFonts w:ascii="Palatino Linotype" w:hAnsi="Palatino Linotype"/>
        </w:rPr>
        <w:t>Meet requirements for debt reserves</w:t>
      </w:r>
    </w:p>
    <w:p w14:paraId="76960E99" w14:textId="77777777" w:rsidR="00875768" w:rsidRPr="00DF576B" w:rsidRDefault="00875768" w:rsidP="00875768">
      <w:pPr>
        <w:pStyle w:val="ListParagraph"/>
        <w:numPr>
          <w:ilvl w:val="0"/>
          <w:numId w:val="11"/>
        </w:numPr>
        <w:spacing w:after="0"/>
        <w:jc w:val="both"/>
        <w:rPr>
          <w:rFonts w:ascii="Palatino Linotype" w:hAnsi="Palatino Linotype"/>
        </w:rPr>
      </w:pPr>
      <w:r w:rsidRPr="00DF576B">
        <w:rPr>
          <w:rFonts w:ascii="Palatino Linotype" w:hAnsi="Palatino Linotype"/>
        </w:rPr>
        <w:t xml:space="preserve">Meet operating cash flow requirements </w:t>
      </w:r>
      <w:proofErr w:type="gramStart"/>
      <w:r w:rsidRPr="00DF576B">
        <w:rPr>
          <w:rFonts w:ascii="Palatino Linotype" w:hAnsi="Palatino Linotype"/>
        </w:rPr>
        <w:t>as a result of</w:t>
      </w:r>
      <w:proofErr w:type="gramEnd"/>
      <w:r w:rsidRPr="00DF576B">
        <w:rPr>
          <w:rFonts w:ascii="Palatino Linotype" w:hAnsi="Palatino Linotype"/>
        </w:rPr>
        <w:t xml:space="preserve"> delay in the receipt of taxes, grant proceeds and other operating revenues</w:t>
      </w:r>
    </w:p>
    <w:p w14:paraId="75BB0907" w14:textId="77777777" w:rsidR="00875768" w:rsidRPr="00DF576B" w:rsidRDefault="00875768" w:rsidP="00875768">
      <w:pPr>
        <w:pStyle w:val="ListParagraph"/>
        <w:spacing w:after="0"/>
        <w:jc w:val="both"/>
        <w:rPr>
          <w:rFonts w:ascii="Palatino Linotype" w:hAnsi="Palatino Linotype"/>
        </w:rPr>
      </w:pPr>
    </w:p>
    <w:p w14:paraId="73B5E2B7" w14:textId="22B0E847" w:rsidR="00875768" w:rsidRPr="00693D76" w:rsidRDefault="00F12261" w:rsidP="00875768">
      <w:pPr>
        <w:spacing w:after="0"/>
        <w:jc w:val="both"/>
        <w:rPr>
          <w:rFonts w:ascii="Palatino Linotype" w:hAnsi="Palatino Linotype"/>
          <w:b/>
        </w:rPr>
      </w:pPr>
      <w:r>
        <w:rPr>
          <w:rFonts w:ascii="Palatino Linotype" w:hAnsi="Palatino Linotype"/>
          <w:b/>
        </w:rPr>
        <w:t>PERS</w:t>
      </w:r>
      <w:r w:rsidR="008562CF">
        <w:rPr>
          <w:rFonts w:ascii="Palatino Linotype" w:hAnsi="Palatino Linotype"/>
          <w:b/>
        </w:rPr>
        <w:t xml:space="preserve"> </w:t>
      </w:r>
      <w:r w:rsidR="00875768">
        <w:rPr>
          <w:rFonts w:ascii="Palatino Linotype" w:hAnsi="Palatino Linotype"/>
        </w:rPr>
        <w:t>– $</w:t>
      </w:r>
      <w:r w:rsidR="00476D9C">
        <w:rPr>
          <w:rFonts w:ascii="Palatino Linotype" w:hAnsi="Palatino Linotype"/>
        </w:rPr>
        <w:t>20</w:t>
      </w:r>
      <w:r w:rsidR="00525A0E">
        <w:rPr>
          <w:rFonts w:ascii="Palatino Linotype" w:hAnsi="Palatino Linotype"/>
        </w:rPr>
        <w:t>,</w:t>
      </w:r>
      <w:r w:rsidR="00476D9C">
        <w:rPr>
          <w:rFonts w:ascii="Palatino Linotype" w:hAnsi="Palatino Linotype"/>
        </w:rPr>
        <w:t>491</w:t>
      </w:r>
      <w:r w:rsidR="00875768">
        <w:rPr>
          <w:rFonts w:ascii="Palatino Linotype" w:hAnsi="Palatino Linotype"/>
        </w:rPr>
        <w:t>,00</w:t>
      </w:r>
      <w:r w:rsidR="00476D9C">
        <w:rPr>
          <w:rFonts w:ascii="Palatino Linotype" w:hAnsi="Palatino Linotype"/>
        </w:rPr>
        <w:t>4</w:t>
      </w:r>
      <w:r w:rsidR="00875768">
        <w:rPr>
          <w:rFonts w:ascii="Palatino Linotype" w:hAnsi="Palatino Linotype"/>
        </w:rPr>
        <w:t xml:space="preserve"> and represents the</w:t>
      </w:r>
      <w:r w:rsidR="002262D7">
        <w:rPr>
          <w:rFonts w:ascii="Palatino Linotype" w:hAnsi="Palatino Linotype"/>
        </w:rPr>
        <w:t xml:space="preserve"> initial investment into the City’s Pension Rate Stabilization Program (PRSP).  As a result of the significant increase in retirement costs base</w:t>
      </w:r>
      <w:r w:rsidR="00875768">
        <w:rPr>
          <w:rFonts w:ascii="Palatino Linotype" w:hAnsi="Palatino Linotype"/>
        </w:rPr>
        <w:t xml:space="preserve">d on the most recent </w:t>
      </w:r>
      <w:r w:rsidR="002262D7">
        <w:rPr>
          <w:rFonts w:ascii="Palatino Linotype" w:hAnsi="Palatino Linotype"/>
        </w:rPr>
        <w:t>actuarial forecast, the City elects to establish and fund a secondary pension trust to assist in stabilizing the potential impact of pension cost volatility on the City’s operating budget</w:t>
      </w:r>
      <w:r w:rsidR="00875768">
        <w:rPr>
          <w:rFonts w:ascii="Palatino Linotype" w:hAnsi="Palatino Linotype"/>
        </w:rPr>
        <w:t xml:space="preserve">.  </w:t>
      </w:r>
      <w:r w:rsidR="002262D7">
        <w:rPr>
          <w:rFonts w:ascii="Palatino Linotype" w:hAnsi="Palatino Linotype"/>
        </w:rPr>
        <w:t>Annual contributions subsequent to the initial funding are determined by calculating the difference between CalPERS’ current dis</w:t>
      </w:r>
      <w:r w:rsidR="00A94AC9">
        <w:rPr>
          <w:rFonts w:ascii="Palatino Linotype" w:hAnsi="Palatino Linotype"/>
        </w:rPr>
        <w:t>count rate and a more</w:t>
      </w:r>
      <w:r w:rsidR="002262D7">
        <w:rPr>
          <w:rFonts w:ascii="Palatino Linotype" w:hAnsi="Palatino Linotype"/>
        </w:rPr>
        <w:t xml:space="preserve"> conservative rate determined by the </w:t>
      </w:r>
      <w:proofErr w:type="gramStart"/>
      <w:r w:rsidR="002262D7">
        <w:rPr>
          <w:rFonts w:ascii="Palatino Linotype" w:hAnsi="Palatino Linotype"/>
        </w:rPr>
        <w:t>City</w:t>
      </w:r>
      <w:proofErr w:type="gramEnd"/>
      <w:r w:rsidR="002262D7">
        <w:rPr>
          <w:rFonts w:ascii="Palatino Linotype" w:hAnsi="Palatino Linotype"/>
        </w:rPr>
        <w:t>.  This difference is to be transferred to the pension trust and to be used solely f</w:t>
      </w:r>
      <w:r w:rsidR="00A94AC9">
        <w:rPr>
          <w:rFonts w:ascii="Palatino Linotype" w:hAnsi="Palatino Linotype"/>
        </w:rPr>
        <w:t>or the benefit of members in the plan.</w:t>
      </w:r>
      <w:r w:rsidR="00E531C0">
        <w:rPr>
          <w:rFonts w:ascii="Palatino Linotype" w:hAnsi="Palatino Linotype"/>
        </w:rPr>
        <w:t xml:space="preserve"> Funds in this trust </w:t>
      </w:r>
      <w:r w:rsidR="00F168A6">
        <w:rPr>
          <w:rFonts w:ascii="Palatino Linotype" w:hAnsi="Palatino Linotype"/>
        </w:rPr>
        <w:t>are technically “restricted” under Governmental Accounting Standards Board (GASB) Statement No. 54 in that the funds are legally restricted to be used for retirement costs; however, the timing for which these funds may be used is</w:t>
      </w:r>
      <w:r w:rsidR="00E531C0">
        <w:rPr>
          <w:rFonts w:ascii="Palatino Linotype" w:hAnsi="Palatino Linotype"/>
        </w:rPr>
        <w:t xml:space="preserve"> only at the discretion of City Council.</w:t>
      </w:r>
    </w:p>
    <w:p w14:paraId="23C7851D" w14:textId="77777777" w:rsidR="004D4823" w:rsidRDefault="004D4823" w:rsidP="00875768">
      <w:pPr>
        <w:spacing w:after="0"/>
        <w:jc w:val="both"/>
        <w:rPr>
          <w:rFonts w:ascii="Palatino Linotype" w:hAnsi="Palatino Linotype"/>
        </w:rPr>
      </w:pPr>
    </w:p>
    <w:p w14:paraId="5AB432DA" w14:textId="45C1E424" w:rsidR="001E7AB5" w:rsidRDefault="00476D9C">
      <w:pPr>
        <w:rPr>
          <w:rFonts w:ascii="Palatino Linotype" w:hAnsi="Palatino Linotype"/>
          <w:b/>
        </w:rPr>
      </w:pPr>
      <w:r>
        <w:rPr>
          <w:rFonts w:ascii="Palatino Linotype" w:hAnsi="Palatino Linotype"/>
          <w:b/>
        </w:rPr>
        <w:t xml:space="preserve">Capital Projects </w:t>
      </w:r>
      <w:r>
        <w:rPr>
          <w:rFonts w:ascii="Palatino Linotype" w:hAnsi="Palatino Linotype"/>
          <w:bCs/>
        </w:rPr>
        <w:t xml:space="preserve">- $10,000,000 and represents the amount of General Fund resources readily available to fund future capital projects in the City’s Capital Improvement Program (CIP). </w:t>
      </w:r>
      <w:r w:rsidR="00F12261">
        <w:rPr>
          <w:rFonts w:ascii="Palatino Linotype" w:hAnsi="Palatino Linotype"/>
          <w:bCs/>
        </w:rPr>
        <w:t>T</w:t>
      </w:r>
      <w:r w:rsidR="00EC0981">
        <w:rPr>
          <w:rFonts w:ascii="Palatino Linotype" w:hAnsi="Palatino Linotype"/>
          <w:bCs/>
        </w:rPr>
        <w:t>he City’s Capital Projects Funds has a $5,000,000 reserve threshold</w:t>
      </w:r>
      <w:r w:rsidR="00F12261">
        <w:rPr>
          <w:rFonts w:ascii="Palatino Linotype" w:hAnsi="Palatino Linotype"/>
          <w:bCs/>
        </w:rPr>
        <w:t>; however</w:t>
      </w:r>
      <w:r w:rsidR="00EC0981">
        <w:rPr>
          <w:rFonts w:ascii="Palatino Linotype" w:hAnsi="Palatino Linotype"/>
          <w:bCs/>
        </w:rPr>
        <w:t>, establishing a secondary reserve in the City’s General Fund will enable more efficient and accurate short- and long-term capital budget</w:t>
      </w:r>
      <w:r w:rsidR="00F12261">
        <w:rPr>
          <w:rFonts w:ascii="Palatino Linotype" w:hAnsi="Palatino Linotype"/>
          <w:bCs/>
        </w:rPr>
        <w:t xml:space="preserve">ing and </w:t>
      </w:r>
      <w:r w:rsidR="00EC0981">
        <w:rPr>
          <w:rFonts w:ascii="Palatino Linotype" w:hAnsi="Palatino Linotype"/>
          <w:bCs/>
        </w:rPr>
        <w:t>planning.</w:t>
      </w:r>
    </w:p>
    <w:p w14:paraId="384A5C1D" w14:textId="5799C619" w:rsidR="004D4823" w:rsidRPr="00D31D49" w:rsidRDefault="004D4823" w:rsidP="00875768">
      <w:pPr>
        <w:spacing w:after="0"/>
        <w:jc w:val="both"/>
        <w:rPr>
          <w:rFonts w:ascii="Palatino Linotype" w:hAnsi="Palatino Linotype"/>
          <w:b/>
        </w:rPr>
      </w:pPr>
      <w:r>
        <w:rPr>
          <w:rFonts w:ascii="Palatino Linotype" w:hAnsi="Palatino Linotype"/>
          <w:b/>
        </w:rPr>
        <w:t>Sustainability Reserve</w:t>
      </w:r>
      <w:r w:rsidR="00C45534">
        <w:rPr>
          <w:rFonts w:ascii="Palatino Linotype" w:hAnsi="Palatino Linotype"/>
          <w:b/>
        </w:rPr>
        <w:t xml:space="preserve"> </w:t>
      </w:r>
      <w:r w:rsidR="00731881">
        <w:rPr>
          <w:rFonts w:ascii="Palatino Linotype" w:hAnsi="Palatino Linotype"/>
        </w:rPr>
        <w:t xml:space="preserve">– Cupertino’s Sustainability Division oversees the City’s Climate Action Plan (CAP), which defines strategies to reduce greenhouse gas emissions, and provides residents, businesses and schools with programs and services focused on energy efficiency, renewable energy, water conservation, alternative </w:t>
      </w:r>
      <w:proofErr w:type="gramStart"/>
      <w:r w:rsidR="00731881">
        <w:rPr>
          <w:rFonts w:ascii="Palatino Linotype" w:hAnsi="Palatino Linotype"/>
        </w:rPr>
        <w:t>transportation</w:t>
      </w:r>
      <w:proofErr w:type="gramEnd"/>
      <w:r w:rsidR="00731881">
        <w:rPr>
          <w:rFonts w:ascii="Palatino Linotype" w:hAnsi="Palatino Linotype"/>
        </w:rPr>
        <w:t xml:space="preserve"> and other sustainable actions.  The City receives rebates for projects that successfully meet the eligibility requirements such as energy or water efficiency.  If the rebates were not initially budgeted, they are categorized as committed fund balance in the General Fund. The purpose of this reserve is to help support future sustainability projects/programs.  </w:t>
      </w:r>
      <w:r>
        <w:rPr>
          <w:rFonts w:ascii="Palatino Linotype" w:hAnsi="Palatino Linotype"/>
          <w:b/>
        </w:rPr>
        <w:t xml:space="preserve"> </w:t>
      </w:r>
    </w:p>
    <w:p w14:paraId="37D2D48B" w14:textId="77777777" w:rsidR="00875768" w:rsidRDefault="00875768" w:rsidP="00875768">
      <w:pPr>
        <w:spacing w:after="0"/>
        <w:jc w:val="both"/>
        <w:rPr>
          <w:rFonts w:ascii="Palatino Linotype" w:hAnsi="Palatino Linotype"/>
        </w:rPr>
      </w:pPr>
    </w:p>
    <w:p w14:paraId="2E30A23A" w14:textId="2AD9F07F" w:rsidR="00875768" w:rsidRDefault="00875768" w:rsidP="00875768">
      <w:pPr>
        <w:spacing w:after="0"/>
        <w:jc w:val="both"/>
        <w:rPr>
          <w:rFonts w:ascii="Palatino Linotype" w:hAnsi="Palatino Linotype"/>
        </w:rPr>
      </w:pPr>
      <w:r w:rsidRPr="00693D76">
        <w:rPr>
          <w:rFonts w:ascii="Palatino Linotype" w:hAnsi="Palatino Linotype"/>
          <w:b/>
        </w:rPr>
        <w:t>Unassigned</w:t>
      </w:r>
      <w:r w:rsidR="00C45534">
        <w:rPr>
          <w:rFonts w:ascii="Palatino Linotype" w:hAnsi="Palatino Linotype"/>
          <w:b/>
        </w:rPr>
        <w:t xml:space="preserve"> </w:t>
      </w:r>
      <w:r>
        <w:rPr>
          <w:rFonts w:ascii="Palatino Linotype" w:hAnsi="Palatino Linotype"/>
        </w:rPr>
        <w:t xml:space="preserve">– </w:t>
      </w:r>
      <w:r w:rsidRPr="00043CCF">
        <w:rPr>
          <w:rFonts w:ascii="Palatino Linotype" w:hAnsi="Palatino Linotype"/>
        </w:rPr>
        <w:t>$</w:t>
      </w:r>
      <w:r w:rsidR="008B7F27">
        <w:rPr>
          <w:rFonts w:ascii="Palatino Linotype" w:hAnsi="Palatino Linotype"/>
        </w:rPr>
        <w:t>5</w:t>
      </w:r>
      <w:r w:rsidRPr="00043CCF">
        <w:rPr>
          <w:rFonts w:ascii="Palatino Linotype" w:hAnsi="Palatino Linotype"/>
        </w:rPr>
        <w:t>00,000 and represents 1% of the total general fund operating budget</w:t>
      </w:r>
      <w:r>
        <w:rPr>
          <w:rFonts w:ascii="Palatino Linotype" w:hAnsi="Palatino Linotype"/>
          <w:b/>
        </w:rPr>
        <w:t xml:space="preserve">.  </w:t>
      </w:r>
      <w:r>
        <w:rPr>
          <w:rFonts w:ascii="Palatino Linotype" w:hAnsi="Palatino Linotype"/>
        </w:rPr>
        <w:t>This assignment may change from year to year based on budgeted general fund expenditures.</w:t>
      </w:r>
    </w:p>
    <w:p w14:paraId="1ACC5AB9" w14:textId="77777777" w:rsidR="00875768" w:rsidRDefault="00875768" w:rsidP="00875768">
      <w:pPr>
        <w:pStyle w:val="ListParagraph"/>
        <w:numPr>
          <w:ilvl w:val="0"/>
          <w:numId w:val="11"/>
        </w:numPr>
        <w:spacing w:after="0"/>
        <w:jc w:val="both"/>
        <w:rPr>
          <w:rFonts w:ascii="Palatino Linotype" w:hAnsi="Palatino Linotype"/>
        </w:rPr>
      </w:pPr>
      <w:r w:rsidRPr="00DF576B">
        <w:rPr>
          <w:rFonts w:ascii="Palatino Linotype" w:hAnsi="Palatino Linotype"/>
        </w:rPr>
        <w:t>Absorb unanticipated operating needs tha</w:t>
      </w:r>
      <w:r>
        <w:rPr>
          <w:rFonts w:ascii="Palatino Linotype" w:hAnsi="Palatino Linotype"/>
        </w:rPr>
        <w:t>t arise during the fiscal year that</w:t>
      </w:r>
      <w:r w:rsidRPr="00DF576B">
        <w:rPr>
          <w:rFonts w:ascii="Palatino Linotype" w:hAnsi="Palatino Linotype"/>
        </w:rPr>
        <w:t xml:space="preserve"> were not anticipated during the budget process</w:t>
      </w:r>
    </w:p>
    <w:p w14:paraId="2CC121E8" w14:textId="77777777" w:rsidR="00875768" w:rsidRPr="00DF576B" w:rsidRDefault="00875768" w:rsidP="00875768">
      <w:pPr>
        <w:pStyle w:val="ListParagraph"/>
        <w:numPr>
          <w:ilvl w:val="0"/>
          <w:numId w:val="11"/>
        </w:numPr>
        <w:spacing w:after="0"/>
        <w:jc w:val="both"/>
        <w:rPr>
          <w:rFonts w:ascii="Palatino Linotype" w:hAnsi="Palatino Linotype"/>
        </w:rPr>
      </w:pPr>
      <w:r w:rsidRPr="00DF576B">
        <w:rPr>
          <w:rFonts w:ascii="Palatino Linotype" w:hAnsi="Palatino Linotype"/>
        </w:rPr>
        <w:t>Absorb unexpected claims or litigation settlements</w:t>
      </w:r>
    </w:p>
    <w:p w14:paraId="083E8BB0" w14:textId="77777777" w:rsidR="00875768" w:rsidRPr="00DF576B" w:rsidRDefault="00875768" w:rsidP="00875768">
      <w:pPr>
        <w:pStyle w:val="ListParagraph"/>
        <w:spacing w:after="0"/>
        <w:jc w:val="both"/>
        <w:rPr>
          <w:rFonts w:ascii="Palatino Linotype" w:hAnsi="Palatino Linotype"/>
        </w:rPr>
      </w:pPr>
    </w:p>
    <w:p w14:paraId="6281A093" w14:textId="77777777" w:rsidR="00875768" w:rsidRPr="00DF576B" w:rsidRDefault="00875768" w:rsidP="00875768">
      <w:pPr>
        <w:spacing w:after="0"/>
        <w:jc w:val="both"/>
        <w:rPr>
          <w:rFonts w:ascii="Palatino Linotype" w:hAnsi="Palatino Linotype"/>
        </w:rPr>
      </w:pPr>
      <w:r w:rsidRPr="00043CCF">
        <w:rPr>
          <w:rFonts w:ascii="Palatino Linotype" w:hAnsi="Palatino Linotype"/>
          <w:b/>
        </w:rPr>
        <w:t>Capital Improvement</w:t>
      </w:r>
      <w:r>
        <w:rPr>
          <w:rFonts w:ascii="Palatino Linotype" w:hAnsi="Palatino Linotype"/>
        </w:rPr>
        <w:t xml:space="preserve"> – $5,000,000 and represents average dollars spent for capital projects in the last three fiscal years.  This assignment may change from year to year based on actuals dollars spent on capital projects and anticipated future capital project needs.</w:t>
      </w:r>
    </w:p>
    <w:p w14:paraId="21FA05BD" w14:textId="77777777" w:rsidR="00875768" w:rsidRPr="00EE143A" w:rsidRDefault="00875768" w:rsidP="00875768">
      <w:pPr>
        <w:pStyle w:val="ListParagraph"/>
        <w:numPr>
          <w:ilvl w:val="0"/>
          <w:numId w:val="11"/>
        </w:numPr>
        <w:kinsoku w:val="0"/>
        <w:overflowPunct w:val="0"/>
        <w:autoSpaceDE w:val="0"/>
        <w:autoSpaceDN w:val="0"/>
        <w:adjustRightInd w:val="0"/>
        <w:spacing w:after="0" w:line="245" w:lineRule="exact"/>
        <w:jc w:val="both"/>
        <w:rPr>
          <w:rFonts w:ascii="Palatino Linotype" w:hAnsi="Palatino Linotype" w:cs="Times New Roman"/>
          <w:szCs w:val="24"/>
        </w:rPr>
      </w:pPr>
      <w:r w:rsidRPr="00EE143A">
        <w:rPr>
          <w:rFonts w:ascii="Palatino Linotype" w:hAnsi="Palatino Linotype"/>
        </w:rPr>
        <w:t xml:space="preserve">Meet future capital project needs </w:t>
      </w:r>
      <w:proofErr w:type="gramStart"/>
      <w:r w:rsidRPr="00EE143A">
        <w:rPr>
          <w:rFonts w:ascii="Palatino Linotype" w:hAnsi="Palatino Linotype"/>
        </w:rPr>
        <w:t>so as to</w:t>
      </w:r>
      <w:proofErr w:type="gramEnd"/>
      <w:r w:rsidRPr="00EE143A">
        <w:rPr>
          <w:rFonts w:ascii="Palatino Linotype" w:hAnsi="Palatino Linotype"/>
        </w:rPr>
        <w:t xml:space="preserve"> m</w:t>
      </w:r>
      <w:r>
        <w:rPr>
          <w:rFonts w:ascii="Palatino Linotype" w:hAnsi="Palatino Linotype"/>
        </w:rPr>
        <w:t>inimize future debt obligations</w:t>
      </w:r>
    </w:p>
    <w:p w14:paraId="0FBAF170" w14:textId="77777777" w:rsidR="00875768" w:rsidRPr="00EE143A" w:rsidRDefault="00875768" w:rsidP="00875768">
      <w:pPr>
        <w:pStyle w:val="ListParagraph"/>
        <w:kinsoku w:val="0"/>
        <w:overflowPunct w:val="0"/>
        <w:autoSpaceDE w:val="0"/>
        <w:autoSpaceDN w:val="0"/>
        <w:adjustRightInd w:val="0"/>
        <w:spacing w:after="0" w:line="245" w:lineRule="exact"/>
        <w:jc w:val="both"/>
        <w:rPr>
          <w:rFonts w:ascii="Palatino Linotype" w:hAnsi="Palatino Linotype" w:cs="Times New Roman"/>
          <w:szCs w:val="24"/>
        </w:rPr>
      </w:pPr>
    </w:p>
    <w:p w14:paraId="11CD1DFF" w14:textId="77777777" w:rsidR="00875768" w:rsidRPr="00DF576B" w:rsidRDefault="00875768" w:rsidP="00875768">
      <w:pPr>
        <w:spacing w:after="0"/>
        <w:jc w:val="both"/>
        <w:rPr>
          <w:rFonts w:ascii="Palatino Linotype" w:hAnsi="Palatino Linotype"/>
          <w:i/>
        </w:rPr>
      </w:pPr>
      <w:r w:rsidRPr="00DF576B">
        <w:rPr>
          <w:rFonts w:ascii="Palatino Linotype" w:hAnsi="Palatino Linotype"/>
        </w:rPr>
        <w:t xml:space="preserve">The City shall not use </w:t>
      </w:r>
      <w:r>
        <w:rPr>
          <w:rFonts w:ascii="Palatino Linotype" w:hAnsi="Palatino Linotype"/>
        </w:rPr>
        <w:t>fund balances/reserves</w:t>
      </w:r>
      <w:r w:rsidRPr="00DF576B">
        <w:rPr>
          <w:rFonts w:ascii="Palatino Linotype" w:hAnsi="Palatino Linotype"/>
        </w:rPr>
        <w:t xml:space="preserve"> in lieu of </w:t>
      </w:r>
      <w:r>
        <w:rPr>
          <w:rFonts w:ascii="Palatino Linotype" w:hAnsi="Palatino Linotype"/>
        </w:rPr>
        <w:t>revenues</w:t>
      </w:r>
      <w:r w:rsidRPr="00DF576B">
        <w:rPr>
          <w:rFonts w:ascii="Palatino Linotype" w:hAnsi="Palatino Linotype"/>
        </w:rPr>
        <w:t xml:space="preserve"> to pay for ongoing expenses except as specifically provid</w:t>
      </w:r>
      <w:r>
        <w:rPr>
          <w:rFonts w:ascii="Palatino Linotype" w:hAnsi="Palatino Linotype"/>
        </w:rPr>
        <w:t>ed in the City’s reserve policy.</w:t>
      </w:r>
    </w:p>
    <w:p w14:paraId="05047DFB" w14:textId="77777777" w:rsidR="00875768" w:rsidRDefault="00875768" w:rsidP="00875768">
      <w:pPr>
        <w:kinsoku w:val="0"/>
        <w:overflowPunct w:val="0"/>
        <w:autoSpaceDE w:val="0"/>
        <w:autoSpaceDN w:val="0"/>
        <w:adjustRightInd w:val="0"/>
        <w:spacing w:after="0" w:line="245" w:lineRule="exact"/>
        <w:rPr>
          <w:rFonts w:ascii="Palatino Linotype" w:hAnsi="Palatino Linotype" w:cs="Times New Roman"/>
          <w:szCs w:val="24"/>
        </w:rPr>
      </w:pPr>
    </w:p>
    <w:p w14:paraId="2E2CC0AE"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48BCAEFC"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38172947"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2A5C2AC4"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5E9F44AC"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4F9D8BC6"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50444FE5"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5FB2F426"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7ECDA2C0"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6762CB26"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460AEA0C"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41F0C095" w14:textId="77777777" w:rsidR="00BC35C3" w:rsidRDefault="00BC35C3" w:rsidP="00875768">
      <w:pPr>
        <w:kinsoku w:val="0"/>
        <w:overflowPunct w:val="0"/>
        <w:autoSpaceDE w:val="0"/>
        <w:autoSpaceDN w:val="0"/>
        <w:adjustRightInd w:val="0"/>
        <w:spacing w:after="0" w:line="245" w:lineRule="exact"/>
        <w:rPr>
          <w:rFonts w:ascii="Palatino Linotype" w:hAnsi="Palatino Linotype" w:cs="Times New Roman"/>
          <w:szCs w:val="24"/>
        </w:rPr>
      </w:pPr>
    </w:p>
    <w:p w14:paraId="1861BE75" w14:textId="2BC1B95C" w:rsidR="00875768" w:rsidRPr="00AD3A86" w:rsidRDefault="00875768" w:rsidP="00875768">
      <w:pPr>
        <w:kinsoku w:val="0"/>
        <w:overflowPunct w:val="0"/>
        <w:autoSpaceDE w:val="0"/>
        <w:autoSpaceDN w:val="0"/>
        <w:adjustRightInd w:val="0"/>
        <w:spacing w:after="0" w:line="245" w:lineRule="exact"/>
        <w:rPr>
          <w:rFonts w:ascii="Palatino Linotype" w:hAnsi="Palatino Linotype" w:cs="Times New Roman"/>
          <w:szCs w:val="24"/>
        </w:rPr>
      </w:pPr>
      <w:r>
        <w:rPr>
          <w:rFonts w:ascii="Palatino Linotype" w:hAnsi="Palatino Linotype" w:cs="Times New Roman"/>
          <w:szCs w:val="24"/>
        </w:rPr>
        <w:lastRenderedPageBreak/>
        <w:t>T</w:t>
      </w:r>
      <w:r w:rsidRPr="00AD3A86">
        <w:rPr>
          <w:rFonts w:ascii="Palatino Linotype" w:hAnsi="Palatino Linotype" w:cs="Times New Roman"/>
          <w:szCs w:val="24"/>
        </w:rPr>
        <w:t xml:space="preserve">he </w:t>
      </w:r>
      <w:r>
        <w:rPr>
          <w:rFonts w:ascii="Palatino Linotype" w:hAnsi="Palatino Linotype" w:cs="Times New Roman"/>
          <w:szCs w:val="24"/>
        </w:rPr>
        <w:t>chart below summarizes reserve policy levels as described above</w:t>
      </w:r>
      <w:r w:rsidRPr="00AD3A86">
        <w:rPr>
          <w:rFonts w:ascii="Palatino Linotype" w:hAnsi="Palatino Linotype" w:cs="Times New Roman"/>
          <w:szCs w:val="24"/>
        </w:rPr>
        <w:t>:</w:t>
      </w:r>
    </w:p>
    <w:p w14:paraId="78D451C9" w14:textId="77777777" w:rsidR="00875768" w:rsidRDefault="00875768" w:rsidP="00875768">
      <w:pPr>
        <w:spacing w:after="0"/>
        <w:jc w:val="both"/>
        <w:rPr>
          <w:rFonts w:ascii="Palatino Linotype" w:hAnsi="Palatino Linotype"/>
        </w:rPr>
      </w:pPr>
    </w:p>
    <w:tbl>
      <w:tblPr>
        <w:tblW w:w="9423" w:type="dxa"/>
        <w:tblInd w:w="113" w:type="dxa"/>
        <w:tblLook w:val="04A0" w:firstRow="1" w:lastRow="0" w:firstColumn="1" w:lastColumn="0" w:noHBand="0" w:noVBand="1"/>
      </w:tblPr>
      <w:tblGrid>
        <w:gridCol w:w="1860"/>
        <w:gridCol w:w="2240"/>
        <w:gridCol w:w="1536"/>
        <w:gridCol w:w="1740"/>
        <w:gridCol w:w="2047"/>
      </w:tblGrid>
      <w:tr w:rsidR="00980CC5" w:rsidRPr="00980CC5" w14:paraId="20A51883" w14:textId="77777777" w:rsidTr="00F12261">
        <w:trPr>
          <w:trHeight w:val="312"/>
        </w:trPr>
        <w:tc>
          <w:tcPr>
            <w:tcW w:w="1860" w:type="dxa"/>
            <w:tcBorders>
              <w:top w:val="single" w:sz="4" w:space="0" w:color="auto"/>
              <w:left w:val="single" w:sz="4" w:space="0" w:color="auto"/>
              <w:bottom w:val="single" w:sz="4" w:space="0" w:color="auto"/>
              <w:right w:val="single" w:sz="4" w:space="0" w:color="auto"/>
            </w:tcBorders>
            <w:shd w:val="clear" w:color="000000" w:fill="B2B4B2"/>
            <w:noWrap/>
            <w:vAlign w:val="bottom"/>
            <w:hideMark/>
          </w:tcPr>
          <w:p w14:paraId="64B682D5" w14:textId="77777777" w:rsidR="00980CC5" w:rsidRPr="00980CC5" w:rsidRDefault="00980CC5" w:rsidP="00980CC5">
            <w:pPr>
              <w:spacing w:after="0" w:line="240" w:lineRule="auto"/>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Funding Priority</w:t>
            </w:r>
          </w:p>
        </w:tc>
        <w:tc>
          <w:tcPr>
            <w:tcW w:w="2240" w:type="dxa"/>
            <w:tcBorders>
              <w:top w:val="single" w:sz="4" w:space="0" w:color="auto"/>
              <w:left w:val="nil"/>
              <w:bottom w:val="single" w:sz="4" w:space="0" w:color="auto"/>
              <w:right w:val="single" w:sz="4" w:space="0" w:color="auto"/>
            </w:tcBorders>
            <w:shd w:val="clear" w:color="000000" w:fill="B2B4B2"/>
            <w:noWrap/>
            <w:vAlign w:val="bottom"/>
            <w:hideMark/>
          </w:tcPr>
          <w:p w14:paraId="48C61566" w14:textId="77777777" w:rsidR="00980CC5" w:rsidRPr="00980CC5" w:rsidRDefault="00980CC5" w:rsidP="00980CC5">
            <w:pPr>
              <w:spacing w:after="0" w:line="240" w:lineRule="auto"/>
              <w:jc w:val="center"/>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Reserve</w:t>
            </w:r>
          </w:p>
        </w:tc>
        <w:tc>
          <w:tcPr>
            <w:tcW w:w="1536" w:type="dxa"/>
            <w:tcBorders>
              <w:top w:val="single" w:sz="4" w:space="0" w:color="auto"/>
              <w:left w:val="nil"/>
              <w:bottom w:val="single" w:sz="4" w:space="0" w:color="auto"/>
              <w:right w:val="single" w:sz="4" w:space="0" w:color="auto"/>
            </w:tcBorders>
            <w:shd w:val="clear" w:color="000000" w:fill="B2B4B2"/>
            <w:noWrap/>
            <w:vAlign w:val="bottom"/>
            <w:hideMark/>
          </w:tcPr>
          <w:p w14:paraId="722FB2BB" w14:textId="77777777" w:rsidR="00980CC5" w:rsidRPr="00980CC5" w:rsidRDefault="00980CC5" w:rsidP="00980CC5">
            <w:pPr>
              <w:spacing w:after="0" w:line="240" w:lineRule="auto"/>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Reserve Level</w:t>
            </w:r>
          </w:p>
        </w:tc>
        <w:tc>
          <w:tcPr>
            <w:tcW w:w="1740" w:type="dxa"/>
            <w:tcBorders>
              <w:top w:val="single" w:sz="4" w:space="0" w:color="auto"/>
              <w:left w:val="nil"/>
              <w:bottom w:val="single" w:sz="4" w:space="0" w:color="auto"/>
              <w:right w:val="single" w:sz="4" w:space="0" w:color="auto"/>
            </w:tcBorders>
            <w:shd w:val="clear" w:color="000000" w:fill="B2B4B2"/>
            <w:noWrap/>
            <w:vAlign w:val="bottom"/>
            <w:hideMark/>
          </w:tcPr>
          <w:p w14:paraId="2AE8B77B" w14:textId="77777777" w:rsidR="00980CC5" w:rsidRPr="00980CC5" w:rsidRDefault="00980CC5" w:rsidP="00980CC5">
            <w:pPr>
              <w:spacing w:after="0" w:line="240" w:lineRule="auto"/>
              <w:jc w:val="center"/>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Escalator¹</w:t>
            </w:r>
          </w:p>
        </w:tc>
        <w:tc>
          <w:tcPr>
            <w:tcW w:w="2047" w:type="dxa"/>
            <w:tcBorders>
              <w:top w:val="single" w:sz="4" w:space="0" w:color="auto"/>
              <w:left w:val="nil"/>
              <w:bottom w:val="single" w:sz="4" w:space="0" w:color="auto"/>
              <w:right w:val="single" w:sz="4" w:space="0" w:color="auto"/>
            </w:tcBorders>
            <w:shd w:val="clear" w:color="000000" w:fill="B2B4B2"/>
            <w:noWrap/>
            <w:vAlign w:val="bottom"/>
            <w:hideMark/>
          </w:tcPr>
          <w:p w14:paraId="3CD3B3CA" w14:textId="77777777" w:rsidR="00980CC5" w:rsidRPr="00980CC5" w:rsidRDefault="00980CC5" w:rsidP="00980CC5">
            <w:pPr>
              <w:spacing w:after="0" w:line="240" w:lineRule="auto"/>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Description</w:t>
            </w:r>
          </w:p>
        </w:tc>
      </w:tr>
      <w:tr w:rsidR="00980CC5" w:rsidRPr="00980CC5" w14:paraId="31E8F2A3" w14:textId="77777777" w:rsidTr="00F12261">
        <w:trPr>
          <w:trHeight w:val="312"/>
        </w:trPr>
        <w:tc>
          <w:tcPr>
            <w:tcW w:w="942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A220B" w14:textId="77777777" w:rsidR="00980CC5" w:rsidRPr="00980CC5" w:rsidRDefault="00980CC5" w:rsidP="00980CC5">
            <w:pPr>
              <w:spacing w:after="0" w:line="240" w:lineRule="auto"/>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GENERAL FUND</w:t>
            </w:r>
          </w:p>
        </w:tc>
      </w:tr>
      <w:tr w:rsidR="00980CC5" w:rsidRPr="00980CC5" w14:paraId="255D2716" w14:textId="77777777" w:rsidTr="00F12261">
        <w:trPr>
          <w:trHeight w:val="1560"/>
        </w:trPr>
        <w:tc>
          <w:tcPr>
            <w:tcW w:w="1860" w:type="dxa"/>
            <w:tcBorders>
              <w:top w:val="nil"/>
              <w:left w:val="single" w:sz="4" w:space="0" w:color="auto"/>
              <w:bottom w:val="single" w:sz="4" w:space="0" w:color="auto"/>
              <w:right w:val="single" w:sz="4" w:space="0" w:color="auto"/>
            </w:tcBorders>
            <w:shd w:val="clear" w:color="000000" w:fill="B2B4B2"/>
            <w:noWrap/>
            <w:hideMark/>
          </w:tcPr>
          <w:p w14:paraId="50B12DC2"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1</w:t>
            </w:r>
          </w:p>
        </w:tc>
        <w:tc>
          <w:tcPr>
            <w:tcW w:w="2240" w:type="dxa"/>
            <w:tcBorders>
              <w:top w:val="nil"/>
              <w:left w:val="nil"/>
              <w:bottom w:val="single" w:sz="4" w:space="0" w:color="auto"/>
              <w:right w:val="single" w:sz="4" w:space="0" w:color="auto"/>
            </w:tcBorders>
            <w:shd w:val="clear" w:color="000000" w:fill="B2B4B2"/>
            <w:noWrap/>
            <w:hideMark/>
          </w:tcPr>
          <w:p w14:paraId="38353D73"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Economic Uncertainty</w:t>
            </w:r>
          </w:p>
        </w:tc>
        <w:tc>
          <w:tcPr>
            <w:tcW w:w="1536" w:type="dxa"/>
            <w:tcBorders>
              <w:top w:val="nil"/>
              <w:left w:val="nil"/>
              <w:bottom w:val="single" w:sz="4" w:space="0" w:color="auto"/>
              <w:right w:val="single" w:sz="4" w:space="0" w:color="auto"/>
            </w:tcBorders>
            <w:shd w:val="clear" w:color="000000" w:fill="B2B4B2"/>
            <w:noWrap/>
            <w:hideMark/>
          </w:tcPr>
          <w:p w14:paraId="6D8333AD" w14:textId="63150259" w:rsidR="00980CC5" w:rsidRPr="00980CC5" w:rsidRDefault="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 xml:space="preserve"> $</w:t>
            </w:r>
            <w:r w:rsidR="00476D9C">
              <w:rPr>
                <w:rFonts w:ascii="Palatino Linotype" w:eastAsia="Times New Roman" w:hAnsi="Palatino Linotype" w:cs="Times New Roman"/>
                <w:color w:val="000000"/>
              </w:rPr>
              <w:t>24</w:t>
            </w:r>
            <w:r w:rsidRPr="00980CC5">
              <w:rPr>
                <w:rFonts w:ascii="Palatino Linotype" w:eastAsia="Times New Roman" w:hAnsi="Palatino Linotype" w:cs="Times New Roman"/>
                <w:color w:val="000000"/>
              </w:rPr>
              <w:t xml:space="preserve">,000,000 </w:t>
            </w:r>
          </w:p>
        </w:tc>
        <w:tc>
          <w:tcPr>
            <w:tcW w:w="1740" w:type="dxa"/>
            <w:tcBorders>
              <w:top w:val="nil"/>
              <w:left w:val="nil"/>
              <w:bottom w:val="single" w:sz="4" w:space="0" w:color="auto"/>
              <w:right w:val="single" w:sz="4" w:space="0" w:color="auto"/>
            </w:tcBorders>
            <w:shd w:val="clear" w:color="000000" w:fill="B2B4B2"/>
            <w:hideMark/>
          </w:tcPr>
          <w:p w14:paraId="5D6257F3"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GF Budgeted Operating Expenditures² GF Budget Revenue³</w:t>
            </w:r>
          </w:p>
        </w:tc>
        <w:tc>
          <w:tcPr>
            <w:tcW w:w="2047" w:type="dxa"/>
            <w:tcBorders>
              <w:top w:val="nil"/>
              <w:left w:val="nil"/>
              <w:bottom w:val="single" w:sz="4" w:space="0" w:color="auto"/>
              <w:right w:val="single" w:sz="4" w:space="0" w:color="auto"/>
            </w:tcBorders>
            <w:shd w:val="clear" w:color="000000" w:fill="B2B4B2"/>
            <w:hideMark/>
          </w:tcPr>
          <w:p w14:paraId="20D4F8E5"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For economic downturns and major revenue changes.</w:t>
            </w:r>
          </w:p>
        </w:tc>
      </w:tr>
      <w:tr w:rsidR="00980CC5" w:rsidRPr="00980CC5" w14:paraId="26F835A9" w14:textId="77777777" w:rsidTr="00F12261">
        <w:trPr>
          <w:trHeight w:val="936"/>
        </w:trPr>
        <w:tc>
          <w:tcPr>
            <w:tcW w:w="1860" w:type="dxa"/>
            <w:tcBorders>
              <w:top w:val="nil"/>
              <w:left w:val="single" w:sz="4" w:space="0" w:color="auto"/>
              <w:bottom w:val="single" w:sz="4" w:space="0" w:color="auto"/>
              <w:right w:val="single" w:sz="4" w:space="0" w:color="auto"/>
            </w:tcBorders>
            <w:shd w:val="clear" w:color="auto" w:fill="auto"/>
            <w:noWrap/>
            <w:hideMark/>
          </w:tcPr>
          <w:p w14:paraId="01B12BD2"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2</w:t>
            </w:r>
          </w:p>
        </w:tc>
        <w:tc>
          <w:tcPr>
            <w:tcW w:w="2240" w:type="dxa"/>
            <w:tcBorders>
              <w:top w:val="nil"/>
              <w:left w:val="nil"/>
              <w:bottom w:val="single" w:sz="4" w:space="0" w:color="auto"/>
              <w:right w:val="single" w:sz="4" w:space="0" w:color="auto"/>
            </w:tcBorders>
            <w:shd w:val="clear" w:color="auto" w:fill="auto"/>
            <w:noWrap/>
            <w:hideMark/>
          </w:tcPr>
          <w:p w14:paraId="04EACCF1" w14:textId="0AB8F086" w:rsidR="00980CC5"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PERS</w:t>
            </w:r>
          </w:p>
        </w:tc>
        <w:tc>
          <w:tcPr>
            <w:tcW w:w="1536" w:type="dxa"/>
            <w:tcBorders>
              <w:top w:val="nil"/>
              <w:left w:val="nil"/>
              <w:bottom w:val="single" w:sz="4" w:space="0" w:color="auto"/>
              <w:right w:val="single" w:sz="4" w:space="0" w:color="auto"/>
            </w:tcBorders>
            <w:shd w:val="clear" w:color="auto" w:fill="auto"/>
            <w:noWrap/>
            <w:hideMark/>
          </w:tcPr>
          <w:p w14:paraId="3EC4EF21" w14:textId="026E6088" w:rsidR="00980CC5" w:rsidRPr="00980CC5" w:rsidRDefault="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 xml:space="preserve"> $</w:t>
            </w:r>
            <w:r w:rsidR="00476D9C">
              <w:rPr>
                <w:rFonts w:ascii="Palatino Linotype" w:eastAsia="Times New Roman" w:hAnsi="Palatino Linotype" w:cs="Times New Roman"/>
                <w:color w:val="000000"/>
              </w:rPr>
              <w:t>20,491,004</w:t>
            </w:r>
            <w:r w:rsidRPr="00980CC5">
              <w:rPr>
                <w:rFonts w:ascii="Palatino Linotype" w:eastAsia="Times New Roman" w:hAnsi="Palatino Linotype" w:cs="Times New Roman"/>
                <w:color w:val="000000"/>
              </w:rPr>
              <w:t xml:space="preserve"> </w:t>
            </w:r>
          </w:p>
        </w:tc>
        <w:tc>
          <w:tcPr>
            <w:tcW w:w="1740" w:type="dxa"/>
            <w:tcBorders>
              <w:top w:val="nil"/>
              <w:left w:val="nil"/>
              <w:bottom w:val="single" w:sz="4" w:space="0" w:color="auto"/>
              <w:right w:val="single" w:sz="4" w:space="0" w:color="auto"/>
            </w:tcBorders>
            <w:shd w:val="clear" w:color="auto" w:fill="auto"/>
            <w:hideMark/>
          </w:tcPr>
          <w:p w14:paraId="24168A97"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Budgeted Citywide Retirement Costs</w:t>
            </w:r>
          </w:p>
        </w:tc>
        <w:tc>
          <w:tcPr>
            <w:tcW w:w="2047" w:type="dxa"/>
            <w:tcBorders>
              <w:top w:val="nil"/>
              <w:left w:val="nil"/>
              <w:bottom w:val="single" w:sz="4" w:space="0" w:color="auto"/>
              <w:right w:val="single" w:sz="4" w:space="0" w:color="auto"/>
            </w:tcBorders>
            <w:shd w:val="clear" w:color="auto" w:fill="auto"/>
            <w:hideMark/>
          </w:tcPr>
          <w:p w14:paraId="0FCF8399"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For pension cost increases.</w:t>
            </w:r>
          </w:p>
        </w:tc>
      </w:tr>
      <w:tr w:rsidR="00F12261" w:rsidRPr="00980CC5" w14:paraId="67109CFE" w14:textId="77777777" w:rsidTr="00F12261">
        <w:trPr>
          <w:trHeight w:val="1032"/>
        </w:trPr>
        <w:tc>
          <w:tcPr>
            <w:tcW w:w="1860" w:type="dxa"/>
            <w:tcBorders>
              <w:top w:val="nil"/>
              <w:left w:val="single" w:sz="4" w:space="0" w:color="auto"/>
              <w:bottom w:val="single" w:sz="4" w:space="0" w:color="auto"/>
              <w:right w:val="single" w:sz="4" w:space="0" w:color="auto"/>
            </w:tcBorders>
            <w:shd w:val="clear" w:color="000000" w:fill="B2B4B2"/>
            <w:noWrap/>
          </w:tcPr>
          <w:p w14:paraId="6BB57C72" w14:textId="4C95DB3A" w:rsidR="00F12261"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3</w:t>
            </w:r>
          </w:p>
        </w:tc>
        <w:tc>
          <w:tcPr>
            <w:tcW w:w="2240" w:type="dxa"/>
            <w:tcBorders>
              <w:top w:val="nil"/>
              <w:left w:val="nil"/>
              <w:bottom w:val="single" w:sz="4" w:space="0" w:color="auto"/>
              <w:right w:val="single" w:sz="4" w:space="0" w:color="auto"/>
            </w:tcBorders>
            <w:shd w:val="clear" w:color="000000" w:fill="B2B4B2"/>
            <w:noWrap/>
          </w:tcPr>
          <w:p w14:paraId="2C7402F9" w14:textId="2E04F4D2" w:rsidR="00F12261"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Capital Projects</w:t>
            </w:r>
          </w:p>
        </w:tc>
        <w:tc>
          <w:tcPr>
            <w:tcW w:w="1536" w:type="dxa"/>
            <w:tcBorders>
              <w:top w:val="nil"/>
              <w:left w:val="nil"/>
              <w:bottom w:val="single" w:sz="4" w:space="0" w:color="auto"/>
              <w:right w:val="single" w:sz="4" w:space="0" w:color="auto"/>
            </w:tcBorders>
            <w:shd w:val="clear" w:color="000000" w:fill="B2B4B2"/>
            <w:noWrap/>
          </w:tcPr>
          <w:p w14:paraId="79A2D11C" w14:textId="7303116B" w:rsidR="00F12261" w:rsidRDefault="00F12261">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$10,000,000</w:t>
            </w:r>
          </w:p>
        </w:tc>
        <w:tc>
          <w:tcPr>
            <w:tcW w:w="1740" w:type="dxa"/>
            <w:tcBorders>
              <w:top w:val="nil"/>
              <w:left w:val="nil"/>
              <w:bottom w:val="single" w:sz="4" w:space="0" w:color="auto"/>
              <w:right w:val="single" w:sz="4" w:space="0" w:color="auto"/>
            </w:tcBorders>
            <w:shd w:val="clear" w:color="000000" w:fill="B2B4B2"/>
          </w:tcPr>
          <w:p w14:paraId="763D2A63" w14:textId="6EEA7951" w:rsidR="00F12261"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None</w:t>
            </w:r>
          </w:p>
        </w:tc>
        <w:tc>
          <w:tcPr>
            <w:tcW w:w="2047" w:type="dxa"/>
            <w:tcBorders>
              <w:top w:val="nil"/>
              <w:left w:val="nil"/>
              <w:bottom w:val="single" w:sz="4" w:space="0" w:color="auto"/>
              <w:right w:val="single" w:sz="4" w:space="0" w:color="auto"/>
            </w:tcBorders>
            <w:shd w:val="clear" w:color="000000" w:fill="B2B4B2"/>
          </w:tcPr>
          <w:p w14:paraId="239004B0" w14:textId="41F086A6" w:rsidR="00F12261" w:rsidRPr="00980CC5" w:rsidRDefault="00F12261">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 xml:space="preserve">For </w:t>
            </w:r>
            <w:r w:rsidR="00F168A6">
              <w:rPr>
                <w:rFonts w:ascii="Palatino Linotype" w:eastAsia="Times New Roman" w:hAnsi="Palatino Linotype" w:cs="Times New Roman"/>
                <w:color w:val="000000"/>
              </w:rPr>
              <w:t>future capital project funding.</w:t>
            </w:r>
          </w:p>
        </w:tc>
      </w:tr>
      <w:tr w:rsidR="00980CC5" w:rsidRPr="00980CC5" w14:paraId="58CFACEB" w14:textId="77777777" w:rsidTr="00F12261">
        <w:trPr>
          <w:trHeight w:val="1032"/>
        </w:trPr>
        <w:tc>
          <w:tcPr>
            <w:tcW w:w="1860" w:type="dxa"/>
            <w:tcBorders>
              <w:top w:val="single" w:sz="4" w:space="0" w:color="auto"/>
              <w:left w:val="single" w:sz="4" w:space="0" w:color="auto"/>
              <w:bottom w:val="single" w:sz="4" w:space="0" w:color="auto"/>
              <w:right w:val="single" w:sz="4" w:space="0" w:color="auto"/>
            </w:tcBorders>
            <w:shd w:val="clear" w:color="auto" w:fill="auto"/>
            <w:noWrap/>
            <w:hideMark/>
          </w:tcPr>
          <w:p w14:paraId="1B2F6D43" w14:textId="4BA2B197" w:rsidR="00980CC5"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4</w:t>
            </w:r>
          </w:p>
        </w:tc>
        <w:tc>
          <w:tcPr>
            <w:tcW w:w="2240" w:type="dxa"/>
            <w:tcBorders>
              <w:top w:val="single" w:sz="4" w:space="0" w:color="auto"/>
              <w:left w:val="nil"/>
              <w:bottom w:val="single" w:sz="4" w:space="0" w:color="auto"/>
              <w:right w:val="single" w:sz="4" w:space="0" w:color="auto"/>
            </w:tcBorders>
            <w:shd w:val="clear" w:color="auto" w:fill="auto"/>
            <w:noWrap/>
            <w:hideMark/>
          </w:tcPr>
          <w:p w14:paraId="057F6727"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Sustainability Reserve</w:t>
            </w:r>
          </w:p>
        </w:tc>
        <w:tc>
          <w:tcPr>
            <w:tcW w:w="1536" w:type="dxa"/>
            <w:tcBorders>
              <w:top w:val="single" w:sz="4" w:space="0" w:color="auto"/>
              <w:left w:val="nil"/>
              <w:bottom w:val="single" w:sz="4" w:space="0" w:color="auto"/>
              <w:right w:val="single" w:sz="4" w:space="0" w:color="auto"/>
            </w:tcBorders>
            <w:shd w:val="clear" w:color="auto" w:fill="auto"/>
            <w:noWrap/>
            <w:hideMark/>
          </w:tcPr>
          <w:p w14:paraId="03A50569" w14:textId="24ED4484" w:rsidR="00980CC5" w:rsidRPr="00980CC5" w:rsidRDefault="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 xml:space="preserve"> $</w:t>
            </w:r>
            <w:r w:rsidR="004E2DB8">
              <w:rPr>
                <w:rFonts w:ascii="Palatino Linotype" w:eastAsia="Times New Roman" w:hAnsi="Palatino Linotype" w:cs="Times New Roman"/>
                <w:color w:val="000000"/>
              </w:rPr>
              <w:t>12</w:t>
            </w:r>
            <w:r w:rsidR="00EC0981">
              <w:rPr>
                <w:rFonts w:ascii="Palatino Linotype" w:eastAsia="Times New Roman" w:hAnsi="Palatino Linotype" w:cs="Times New Roman"/>
                <w:color w:val="000000"/>
              </w:rPr>
              <w:t>7</w:t>
            </w:r>
            <w:r w:rsidR="004E2DB8">
              <w:rPr>
                <w:rFonts w:ascii="Palatino Linotype" w:eastAsia="Times New Roman" w:hAnsi="Palatino Linotype" w:cs="Times New Roman"/>
                <w:color w:val="000000"/>
              </w:rPr>
              <w:t>,</w:t>
            </w:r>
            <w:r w:rsidR="00EC0981">
              <w:rPr>
                <w:rFonts w:ascii="Palatino Linotype" w:eastAsia="Times New Roman" w:hAnsi="Palatino Linotype" w:cs="Times New Roman"/>
                <w:color w:val="000000"/>
              </w:rPr>
              <w:t>891</w:t>
            </w:r>
            <w:r w:rsidRPr="00980CC5">
              <w:rPr>
                <w:rFonts w:ascii="Palatino Linotype" w:eastAsia="Times New Roman" w:hAnsi="Palatino Linotype" w:cs="Times New Roman"/>
                <w:color w:val="000000"/>
              </w:rPr>
              <w:t xml:space="preserve"> </w:t>
            </w:r>
          </w:p>
        </w:tc>
        <w:tc>
          <w:tcPr>
            <w:tcW w:w="1740" w:type="dxa"/>
            <w:tcBorders>
              <w:top w:val="single" w:sz="4" w:space="0" w:color="auto"/>
              <w:left w:val="nil"/>
              <w:bottom w:val="single" w:sz="4" w:space="0" w:color="auto"/>
              <w:right w:val="single" w:sz="4" w:space="0" w:color="auto"/>
            </w:tcBorders>
            <w:shd w:val="clear" w:color="auto" w:fill="auto"/>
            <w:hideMark/>
          </w:tcPr>
          <w:p w14:paraId="6CCD3022"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GF Budget Revenue³</w:t>
            </w:r>
          </w:p>
        </w:tc>
        <w:tc>
          <w:tcPr>
            <w:tcW w:w="1840" w:type="dxa"/>
            <w:tcBorders>
              <w:top w:val="single" w:sz="4" w:space="0" w:color="auto"/>
              <w:left w:val="nil"/>
              <w:bottom w:val="single" w:sz="4" w:space="0" w:color="auto"/>
              <w:right w:val="single" w:sz="4" w:space="0" w:color="auto"/>
            </w:tcBorders>
            <w:shd w:val="clear" w:color="auto" w:fill="auto"/>
            <w:hideMark/>
          </w:tcPr>
          <w:p w14:paraId="16BC81E3" w14:textId="0E38F701" w:rsidR="00980CC5" w:rsidRPr="00980CC5" w:rsidRDefault="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For fu</w:t>
            </w:r>
            <w:r>
              <w:rPr>
                <w:rFonts w:ascii="Palatino Linotype" w:eastAsia="Times New Roman" w:hAnsi="Palatino Linotype" w:cs="Times New Roman"/>
                <w:color w:val="000000"/>
              </w:rPr>
              <w:t>t</w:t>
            </w:r>
            <w:r w:rsidRPr="00980CC5">
              <w:rPr>
                <w:rFonts w:ascii="Palatino Linotype" w:eastAsia="Times New Roman" w:hAnsi="Palatino Linotype" w:cs="Times New Roman"/>
                <w:color w:val="000000"/>
              </w:rPr>
              <w:t>ure sustainability projects/programs.</w:t>
            </w:r>
          </w:p>
        </w:tc>
      </w:tr>
      <w:tr w:rsidR="00980CC5" w:rsidRPr="00980CC5" w14:paraId="35712DE8" w14:textId="77777777" w:rsidTr="00BC35C3">
        <w:trPr>
          <w:trHeight w:val="1872"/>
        </w:trPr>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57D4595F" w14:textId="49D0067E" w:rsidR="00980CC5" w:rsidRPr="00980CC5" w:rsidRDefault="00F12261"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5</w:t>
            </w:r>
          </w:p>
        </w:tc>
        <w:tc>
          <w:tcPr>
            <w:tcW w:w="2240"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08757818"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Unassigned</w:t>
            </w:r>
          </w:p>
        </w:tc>
        <w:tc>
          <w:tcPr>
            <w:tcW w:w="1536"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1D8CD762" w14:textId="1EC1D6A5"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 xml:space="preserve"> $500,000 </w:t>
            </w:r>
          </w:p>
        </w:tc>
        <w:tc>
          <w:tcPr>
            <w:tcW w:w="1740" w:type="dxa"/>
            <w:tcBorders>
              <w:top w:val="single" w:sz="4" w:space="0" w:color="auto"/>
              <w:left w:val="nil"/>
              <w:bottom w:val="single" w:sz="4" w:space="0" w:color="auto"/>
              <w:right w:val="single" w:sz="4" w:space="0" w:color="auto"/>
            </w:tcBorders>
            <w:shd w:val="clear" w:color="auto" w:fill="BFBFBF" w:themeFill="background1" w:themeFillShade="BF"/>
            <w:hideMark/>
          </w:tcPr>
          <w:p w14:paraId="3F2F99F3"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Budgeted GF Operating Expenditures²</w:t>
            </w:r>
          </w:p>
        </w:tc>
        <w:tc>
          <w:tcPr>
            <w:tcW w:w="1840" w:type="dxa"/>
            <w:tcBorders>
              <w:top w:val="single" w:sz="4" w:space="0" w:color="auto"/>
              <w:left w:val="nil"/>
              <w:bottom w:val="single" w:sz="4" w:space="0" w:color="auto"/>
              <w:right w:val="single" w:sz="4" w:space="0" w:color="auto"/>
            </w:tcBorders>
            <w:shd w:val="clear" w:color="auto" w:fill="BFBFBF" w:themeFill="background1" w:themeFillShade="BF"/>
            <w:hideMark/>
          </w:tcPr>
          <w:p w14:paraId="2031E6D5"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 xml:space="preserve">For mid-year budget adjustments and redeployment into the </w:t>
            </w:r>
            <w:proofErr w:type="gramStart"/>
            <w:r w:rsidRPr="00980CC5">
              <w:rPr>
                <w:rFonts w:ascii="Palatino Linotype" w:eastAsia="Times New Roman" w:hAnsi="Palatino Linotype" w:cs="Times New Roman"/>
                <w:color w:val="000000"/>
              </w:rPr>
              <w:t>five year</w:t>
            </w:r>
            <w:proofErr w:type="gramEnd"/>
            <w:r w:rsidRPr="00980CC5">
              <w:rPr>
                <w:rFonts w:ascii="Palatino Linotype" w:eastAsia="Times New Roman" w:hAnsi="Palatino Linotype" w:cs="Times New Roman"/>
                <w:color w:val="000000"/>
              </w:rPr>
              <w:t xml:space="preserve"> budget.</w:t>
            </w:r>
          </w:p>
        </w:tc>
      </w:tr>
      <w:tr w:rsidR="00980CC5" w:rsidRPr="00980CC5" w14:paraId="200D3E4B" w14:textId="77777777" w:rsidTr="00BC35C3">
        <w:trPr>
          <w:trHeight w:val="312"/>
        </w:trPr>
        <w:tc>
          <w:tcPr>
            <w:tcW w:w="9216"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51FADD6B" w14:textId="77777777" w:rsidR="00980CC5" w:rsidRPr="00980CC5" w:rsidRDefault="00980CC5" w:rsidP="00980CC5">
            <w:pPr>
              <w:spacing w:after="0" w:line="240" w:lineRule="auto"/>
              <w:rPr>
                <w:rFonts w:ascii="Palatino Linotype" w:eastAsia="Times New Roman" w:hAnsi="Palatino Linotype" w:cs="Times New Roman"/>
                <w:b/>
                <w:bCs/>
                <w:color w:val="000000"/>
              </w:rPr>
            </w:pPr>
            <w:r w:rsidRPr="00980CC5">
              <w:rPr>
                <w:rFonts w:ascii="Palatino Linotype" w:eastAsia="Times New Roman" w:hAnsi="Palatino Linotype" w:cs="Times New Roman"/>
                <w:b/>
                <w:bCs/>
                <w:color w:val="000000"/>
              </w:rPr>
              <w:t>CAPITAL PROJECTS FUNDS</w:t>
            </w:r>
          </w:p>
        </w:tc>
      </w:tr>
      <w:tr w:rsidR="00980CC5" w:rsidRPr="00980CC5" w14:paraId="7A485EC9" w14:textId="77777777" w:rsidTr="00F12261">
        <w:trPr>
          <w:trHeight w:val="936"/>
        </w:trPr>
        <w:tc>
          <w:tcPr>
            <w:tcW w:w="1860" w:type="dxa"/>
            <w:tcBorders>
              <w:top w:val="nil"/>
              <w:left w:val="single" w:sz="4" w:space="0" w:color="auto"/>
              <w:bottom w:val="single" w:sz="4" w:space="0" w:color="auto"/>
              <w:right w:val="single" w:sz="4" w:space="0" w:color="auto"/>
            </w:tcBorders>
            <w:shd w:val="clear" w:color="auto" w:fill="auto"/>
            <w:noWrap/>
            <w:hideMark/>
          </w:tcPr>
          <w:p w14:paraId="371B96B8" w14:textId="4672305B" w:rsidR="00980CC5" w:rsidRPr="00980CC5" w:rsidRDefault="00F168A6" w:rsidP="00980CC5">
            <w:pPr>
              <w:spacing w:after="0" w:line="24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6</w:t>
            </w:r>
          </w:p>
        </w:tc>
        <w:tc>
          <w:tcPr>
            <w:tcW w:w="2240" w:type="dxa"/>
            <w:tcBorders>
              <w:top w:val="nil"/>
              <w:left w:val="nil"/>
              <w:bottom w:val="single" w:sz="4" w:space="0" w:color="auto"/>
              <w:right w:val="single" w:sz="4" w:space="0" w:color="auto"/>
            </w:tcBorders>
            <w:shd w:val="clear" w:color="auto" w:fill="auto"/>
            <w:noWrap/>
            <w:hideMark/>
          </w:tcPr>
          <w:p w14:paraId="3871D1A8"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Capital Improvement</w:t>
            </w:r>
          </w:p>
        </w:tc>
        <w:tc>
          <w:tcPr>
            <w:tcW w:w="1536" w:type="dxa"/>
            <w:tcBorders>
              <w:top w:val="nil"/>
              <w:left w:val="nil"/>
              <w:bottom w:val="single" w:sz="4" w:space="0" w:color="auto"/>
              <w:right w:val="single" w:sz="4" w:space="0" w:color="auto"/>
            </w:tcBorders>
            <w:shd w:val="clear" w:color="auto" w:fill="auto"/>
            <w:noWrap/>
            <w:hideMark/>
          </w:tcPr>
          <w:p w14:paraId="0184F872" w14:textId="2A0CBF55"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 xml:space="preserve"> $5,000,000 </w:t>
            </w:r>
          </w:p>
        </w:tc>
        <w:tc>
          <w:tcPr>
            <w:tcW w:w="1740" w:type="dxa"/>
            <w:tcBorders>
              <w:top w:val="nil"/>
              <w:left w:val="nil"/>
              <w:bottom w:val="single" w:sz="4" w:space="0" w:color="auto"/>
              <w:right w:val="single" w:sz="4" w:space="0" w:color="auto"/>
            </w:tcBorders>
            <w:shd w:val="clear" w:color="auto" w:fill="auto"/>
            <w:hideMark/>
          </w:tcPr>
          <w:p w14:paraId="653BDBCB"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None</w:t>
            </w:r>
          </w:p>
        </w:tc>
        <w:tc>
          <w:tcPr>
            <w:tcW w:w="1840" w:type="dxa"/>
            <w:tcBorders>
              <w:top w:val="nil"/>
              <w:left w:val="nil"/>
              <w:bottom w:val="single" w:sz="4" w:space="0" w:color="auto"/>
              <w:right w:val="single" w:sz="4" w:space="0" w:color="auto"/>
            </w:tcBorders>
            <w:shd w:val="clear" w:color="auto" w:fill="auto"/>
            <w:hideMark/>
          </w:tcPr>
          <w:p w14:paraId="446BE54C" w14:textId="77777777" w:rsidR="00980CC5" w:rsidRPr="00980CC5" w:rsidRDefault="00980CC5" w:rsidP="00980CC5">
            <w:pPr>
              <w:spacing w:after="0" w:line="240" w:lineRule="auto"/>
              <w:rPr>
                <w:rFonts w:ascii="Palatino Linotype" w:eastAsia="Times New Roman" w:hAnsi="Palatino Linotype" w:cs="Times New Roman"/>
                <w:color w:val="000000"/>
              </w:rPr>
            </w:pPr>
            <w:r w:rsidRPr="00980CC5">
              <w:rPr>
                <w:rFonts w:ascii="Palatino Linotype" w:eastAsia="Times New Roman" w:hAnsi="Palatino Linotype" w:cs="Times New Roman"/>
                <w:color w:val="000000"/>
              </w:rPr>
              <w:t>Reserves set aside for future capital projects.</w:t>
            </w:r>
          </w:p>
        </w:tc>
      </w:tr>
    </w:tbl>
    <w:p w14:paraId="64F781BA" w14:textId="5B018541" w:rsidR="00980CC5" w:rsidRDefault="00980CC5" w:rsidP="00875768">
      <w:pPr>
        <w:spacing w:after="0"/>
        <w:jc w:val="both"/>
        <w:rPr>
          <w:rFonts w:ascii="Palatino Linotype" w:hAnsi="Palatino Linotype"/>
        </w:rPr>
      </w:pPr>
      <w:r>
        <w:rPr>
          <w:rFonts w:ascii="Palatino Linotype" w:hAnsi="Palatino Linotype"/>
        </w:rPr>
        <w:t>______________</w:t>
      </w:r>
    </w:p>
    <w:p w14:paraId="45693E7A" w14:textId="70805A39" w:rsidR="00980CC5" w:rsidRDefault="00980CC5" w:rsidP="00875768">
      <w:pPr>
        <w:spacing w:after="0"/>
        <w:jc w:val="both"/>
        <w:rPr>
          <w:rFonts w:ascii="Palatino Linotype" w:hAnsi="Palatino Linotype"/>
        </w:rPr>
      </w:pPr>
      <w:r>
        <w:rPr>
          <w:rFonts w:ascii="Palatino Linotype" w:hAnsi="Palatino Linotype"/>
        </w:rPr>
        <w:t>¹ Rounded to the nearest hundred thousand</w:t>
      </w:r>
    </w:p>
    <w:p w14:paraId="6EBD555A" w14:textId="39911ACF" w:rsidR="00980CC5" w:rsidRDefault="00980CC5" w:rsidP="00875768">
      <w:pPr>
        <w:spacing w:after="0"/>
        <w:jc w:val="both"/>
        <w:rPr>
          <w:rFonts w:ascii="Palatino Linotype" w:hAnsi="Palatino Linotype"/>
        </w:rPr>
      </w:pPr>
      <w:r>
        <w:rPr>
          <w:rFonts w:ascii="Palatino Linotype" w:hAnsi="Palatino Linotype"/>
        </w:rPr>
        <w:t>² Excludes Transfers Out</w:t>
      </w:r>
    </w:p>
    <w:p w14:paraId="61168FA2" w14:textId="0D99A953" w:rsidR="00980CC5" w:rsidRDefault="00980CC5" w:rsidP="00875768">
      <w:pPr>
        <w:spacing w:after="0"/>
        <w:jc w:val="both"/>
        <w:rPr>
          <w:rFonts w:ascii="Palatino Linotype" w:hAnsi="Palatino Linotype"/>
        </w:rPr>
      </w:pPr>
      <w:r>
        <w:rPr>
          <w:rFonts w:ascii="Palatino Linotype" w:hAnsi="Palatino Linotype"/>
        </w:rPr>
        <w:t>³ Excludes the use of reserves</w:t>
      </w:r>
    </w:p>
    <w:p w14:paraId="3676FB76" w14:textId="77777777" w:rsidR="00980CC5" w:rsidRDefault="00980CC5" w:rsidP="00875768">
      <w:pPr>
        <w:spacing w:after="0"/>
        <w:jc w:val="both"/>
        <w:rPr>
          <w:rFonts w:ascii="Palatino Linotype" w:hAnsi="Palatino Linotype"/>
        </w:rPr>
      </w:pPr>
    </w:p>
    <w:p w14:paraId="45C4DDBC" w14:textId="27F38F01" w:rsidR="004E723F" w:rsidRDefault="004E723F" w:rsidP="004E723F">
      <w:pPr>
        <w:spacing w:after="0"/>
        <w:jc w:val="both"/>
        <w:rPr>
          <w:rFonts w:ascii="Palatino Linotype" w:hAnsi="Palatino Linotype"/>
        </w:rPr>
      </w:pPr>
      <w:r>
        <w:rPr>
          <w:rFonts w:ascii="Palatino Linotype" w:hAnsi="Palatino Linotype"/>
          <w:b/>
        </w:rPr>
        <w:t>Changes to Committed</w:t>
      </w:r>
      <w:r w:rsidRPr="00316D76">
        <w:rPr>
          <w:rFonts w:ascii="Palatino Linotype" w:hAnsi="Palatino Linotype"/>
          <w:b/>
        </w:rPr>
        <w:t xml:space="preserve"> Fund Balance</w:t>
      </w:r>
      <w:r>
        <w:rPr>
          <w:rFonts w:ascii="Palatino Linotype" w:hAnsi="Palatino Linotype"/>
        </w:rPr>
        <w:t xml:space="preserve"> – All reserves listed in this policy</w:t>
      </w:r>
      <w:r w:rsidR="00F168A6">
        <w:rPr>
          <w:rFonts w:ascii="Palatino Linotype" w:hAnsi="Palatino Linotype"/>
        </w:rPr>
        <w:t xml:space="preserve">, </w:t>
      </w:r>
      <w:proofErr w:type="gramStart"/>
      <w:r w:rsidR="00F168A6">
        <w:rPr>
          <w:rFonts w:ascii="Palatino Linotype" w:hAnsi="Palatino Linotype"/>
        </w:rPr>
        <w:t>with the exception of</w:t>
      </w:r>
      <w:proofErr w:type="gramEnd"/>
      <w:r w:rsidR="00F168A6">
        <w:rPr>
          <w:rFonts w:ascii="Palatino Linotype" w:hAnsi="Palatino Linotype"/>
        </w:rPr>
        <w:t xml:space="preserve"> the PERS restricted reserve</w:t>
      </w:r>
      <w:r w:rsidR="00375DF3">
        <w:rPr>
          <w:rFonts w:ascii="Palatino Linotype" w:hAnsi="Palatino Linotype"/>
        </w:rPr>
        <w:t>,</w:t>
      </w:r>
      <w:r>
        <w:rPr>
          <w:rFonts w:ascii="Palatino Linotype" w:hAnsi="Palatino Linotype"/>
        </w:rPr>
        <w:t xml:space="preserve"> are classified as Committed Fund Balance under GASB Statement</w:t>
      </w:r>
      <w:r w:rsidR="00F168A6">
        <w:rPr>
          <w:rFonts w:ascii="Palatino Linotype" w:hAnsi="Palatino Linotype"/>
        </w:rPr>
        <w:t xml:space="preserve"> No.</w:t>
      </w:r>
      <w:r>
        <w:rPr>
          <w:rFonts w:ascii="Palatino Linotype" w:hAnsi="Palatino Linotype"/>
        </w:rPr>
        <w:t xml:space="preserve"> 54.    Committed fund balance is comprised of amounts that can be used only for the specific purposes determined by a formal action of the government’s highest level of decision-</w:t>
      </w:r>
      <w:r>
        <w:rPr>
          <w:rFonts w:ascii="Palatino Linotype" w:hAnsi="Palatino Linotype"/>
        </w:rPr>
        <w:lastRenderedPageBreak/>
        <w:t>making authority.   Changes to committed fund balances must be approved by City Council.   This policy will be reviewed annually as part of the budget process.</w:t>
      </w:r>
    </w:p>
    <w:p w14:paraId="2C7B3C7B" w14:textId="77777777" w:rsidR="004E723F" w:rsidRDefault="004E723F" w:rsidP="00875768">
      <w:pPr>
        <w:spacing w:after="0"/>
        <w:jc w:val="both"/>
        <w:rPr>
          <w:rFonts w:ascii="Palatino Linotype" w:hAnsi="Palatino Linotype"/>
          <w:b/>
        </w:rPr>
      </w:pPr>
    </w:p>
    <w:p w14:paraId="33081CCC" w14:textId="6231023C" w:rsidR="00875768" w:rsidRPr="00316D76" w:rsidRDefault="00875768" w:rsidP="00875768">
      <w:pPr>
        <w:spacing w:after="0"/>
        <w:jc w:val="both"/>
        <w:rPr>
          <w:rFonts w:ascii="Palatino Linotype" w:hAnsi="Palatino Linotype"/>
          <w:b/>
        </w:rPr>
      </w:pPr>
      <w:r w:rsidRPr="00316D76">
        <w:rPr>
          <w:rFonts w:ascii="Palatino Linotype" w:hAnsi="Palatino Linotype"/>
          <w:b/>
        </w:rPr>
        <w:t>Replenishment process</w:t>
      </w:r>
      <w:r>
        <w:rPr>
          <w:rFonts w:ascii="Palatino Linotype" w:hAnsi="Palatino Linotype"/>
          <w:b/>
        </w:rPr>
        <w:t xml:space="preserve"> – </w:t>
      </w:r>
      <w:r w:rsidRPr="00316D76">
        <w:rPr>
          <w:rFonts w:ascii="Palatino Linotype" w:hAnsi="Palatino Linotype"/>
        </w:rPr>
        <w:t xml:space="preserve">Should the City need to utilize any of the </w:t>
      </w:r>
      <w:r w:rsidR="004E723F">
        <w:rPr>
          <w:rFonts w:ascii="Palatino Linotype" w:hAnsi="Palatino Linotype"/>
        </w:rPr>
        <w:t>committed</w:t>
      </w:r>
      <w:r w:rsidRPr="00316D76">
        <w:rPr>
          <w:rFonts w:ascii="Palatino Linotype" w:hAnsi="Palatino Linotype"/>
        </w:rPr>
        <w:t xml:space="preserve"> fund balances listed in this policy, </w:t>
      </w:r>
      <w:r w:rsidR="004E723F">
        <w:rPr>
          <w:rFonts w:ascii="Palatino Linotype" w:hAnsi="Palatino Linotype"/>
        </w:rPr>
        <w:t xml:space="preserve">recommendation will be brought to City Council for approval and </w:t>
      </w:r>
      <w:r w:rsidRPr="00316D76">
        <w:rPr>
          <w:rFonts w:ascii="Palatino Linotype" w:hAnsi="Palatino Linotype"/>
        </w:rPr>
        <w:t xml:space="preserve">a plan to replenish the </w:t>
      </w:r>
      <w:r w:rsidR="004E723F">
        <w:rPr>
          <w:rFonts w:ascii="Palatino Linotype" w:hAnsi="Palatino Linotype"/>
        </w:rPr>
        <w:t>committed balance</w:t>
      </w:r>
      <w:r w:rsidRPr="00316D76">
        <w:rPr>
          <w:rFonts w:ascii="Palatino Linotype" w:hAnsi="Palatino Linotype"/>
        </w:rPr>
        <w:t xml:space="preserve"> </w:t>
      </w:r>
      <w:r>
        <w:rPr>
          <w:rFonts w:ascii="Palatino Linotype" w:hAnsi="Palatino Linotype"/>
        </w:rPr>
        <w:t>will</w:t>
      </w:r>
      <w:r w:rsidRPr="00316D76">
        <w:rPr>
          <w:rFonts w:ascii="Palatino Linotype" w:hAnsi="Palatino Linotype"/>
        </w:rPr>
        <w:t xml:space="preserve"> </w:t>
      </w:r>
      <w:r>
        <w:rPr>
          <w:rFonts w:ascii="Palatino Linotype" w:hAnsi="Palatino Linotype"/>
        </w:rPr>
        <w:t xml:space="preserve">be </w:t>
      </w:r>
      <w:r w:rsidRPr="00316D76">
        <w:rPr>
          <w:rFonts w:ascii="Palatino Linotype" w:hAnsi="Palatino Linotype"/>
        </w:rPr>
        <w:t>developed in conjunction with its use.</w:t>
      </w:r>
    </w:p>
    <w:p w14:paraId="59458464" w14:textId="77777777" w:rsidR="00875768" w:rsidRDefault="00875768" w:rsidP="00875768">
      <w:pPr>
        <w:spacing w:after="0"/>
        <w:jc w:val="both"/>
        <w:rPr>
          <w:rFonts w:ascii="Palatino Linotype" w:hAnsi="Palatino Linotype"/>
          <w:b/>
        </w:rPr>
      </w:pPr>
    </w:p>
    <w:p w14:paraId="5AF4D8B4" w14:textId="77777777" w:rsidR="00875768" w:rsidRPr="00316D76" w:rsidRDefault="00875768" w:rsidP="00875768">
      <w:pPr>
        <w:spacing w:after="0"/>
        <w:jc w:val="both"/>
        <w:rPr>
          <w:rFonts w:ascii="Palatino Linotype" w:hAnsi="Palatino Linotype"/>
          <w:b/>
        </w:rPr>
      </w:pPr>
      <w:r w:rsidRPr="00316D76">
        <w:rPr>
          <w:rFonts w:ascii="Palatino Linotype" w:hAnsi="Palatino Linotype"/>
          <w:b/>
        </w:rPr>
        <w:t>Excess</w:t>
      </w:r>
      <w:r>
        <w:rPr>
          <w:rFonts w:ascii="Palatino Linotype" w:hAnsi="Palatino Linotype"/>
          <w:b/>
        </w:rPr>
        <w:t xml:space="preserve"> </w:t>
      </w:r>
      <w:r w:rsidRPr="00316D76">
        <w:rPr>
          <w:rFonts w:ascii="Palatino Linotype" w:hAnsi="Palatino Linotype"/>
        </w:rPr>
        <w:t>–</w:t>
      </w:r>
      <w:r>
        <w:rPr>
          <w:rFonts w:ascii="Palatino Linotype" w:hAnsi="Palatino Linotype"/>
          <w:b/>
        </w:rPr>
        <w:t xml:space="preserve"> </w:t>
      </w:r>
      <w:r w:rsidRPr="00AD3A86">
        <w:rPr>
          <w:rFonts w:ascii="Palatino Linotype" w:hAnsi="Palatino Linotype"/>
        </w:rPr>
        <w:t>Funding of these reserves will come generally from one-time revenues, annual net</w:t>
      </w:r>
      <w:r>
        <w:rPr>
          <w:rFonts w:ascii="Palatino Linotype" w:hAnsi="Palatino Linotype"/>
        </w:rPr>
        <w:t xml:space="preserve"> </w:t>
      </w:r>
      <w:r w:rsidRPr="00AD3A86">
        <w:rPr>
          <w:rFonts w:ascii="Palatino Linotype" w:hAnsi="Palatino Linotype"/>
        </w:rPr>
        <w:t>income, and transfers from other reserves that exceed policy levels. They will be funded</w:t>
      </w:r>
      <w:r>
        <w:rPr>
          <w:rFonts w:ascii="Palatino Linotype" w:hAnsi="Palatino Linotype"/>
        </w:rPr>
        <w:t xml:space="preserve"> </w:t>
      </w:r>
      <w:r w:rsidRPr="00AD3A86">
        <w:rPr>
          <w:rFonts w:ascii="Palatino Linotype" w:hAnsi="Palatino Linotype"/>
        </w:rPr>
        <w:t>in the following priority order</w:t>
      </w:r>
      <w:r w:rsidR="000C74AA">
        <w:rPr>
          <w:rFonts w:ascii="Palatino Linotype" w:hAnsi="Palatino Linotype"/>
        </w:rPr>
        <w:t xml:space="preserve"> with any remaining funds to be placed in the Capital Reserve</w:t>
      </w:r>
      <w:r w:rsidRPr="00AD3A86">
        <w:rPr>
          <w:rFonts w:ascii="Palatino Linotype" w:hAnsi="Palatino Linotype"/>
        </w:rPr>
        <w:t xml:space="preserve">: </w:t>
      </w:r>
    </w:p>
    <w:p w14:paraId="7E2A4C33" w14:textId="77777777" w:rsidR="00875768" w:rsidRDefault="00875768" w:rsidP="00875768">
      <w:pPr>
        <w:spacing w:after="0"/>
        <w:jc w:val="both"/>
        <w:rPr>
          <w:rFonts w:ascii="Palatino Linotype" w:hAnsi="Palatino Linotype"/>
        </w:rPr>
      </w:pPr>
    </w:p>
    <w:p w14:paraId="37BA466D" w14:textId="77777777" w:rsidR="00875768" w:rsidRDefault="00875768" w:rsidP="00875768">
      <w:pPr>
        <w:spacing w:after="0"/>
        <w:jc w:val="both"/>
        <w:rPr>
          <w:rFonts w:ascii="Palatino Linotype" w:hAnsi="Palatino Linotype"/>
        </w:rPr>
      </w:pPr>
      <w:r>
        <w:rPr>
          <w:rFonts w:ascii="Palatino Linotype" w:hAnsi="Palatino Linotype"/>
        </w:rPr>
        <w:t>1</w:t>
      </w:r>
      <w:r w:rsidRPr="00AD3A86">
        <w:rPr>
          <w:rFonts w:ascii="Palatino Linotype" w:hAnsi="Palatino Linotype"/>
        </w:rPr>
        <w:t>) Economic</w:t>
      </w:r>
      <w:r>
        <w:rPr>
          <w:rFonts w:ascii="Palatino Linotype" w:hAnsi="Palatino Linotype"/>
        </w:rPr>
        <w:t xml:space="preserve"> Uncertainty</w:t>
      </w:r>
    </w:p>
    <w:p w14:paraId="484ABE42" w14:textId="24EF77C9" w:rsidR="00875768" w:rsidRDefault="004E723F" w:rsidP="00875768">
      <w:pPr>
        <w:spacing w:after="0"/>
        <w:jc w:val="both"/>
        <w:rPr>
          <w:rFonts w:ascii="Palatino Linotype" w:hAnsi="Palatino Linotype"/>
        </w:rPr>
      </w:pPr>
      <w:r>
        <w:rPr>
          <w:rFonts w:ascii="Palatino Linotype" w:hAnsi="Palatino Linotype"/>
        </w:rPr>
        <w:t>2</w:t>
      </w:r>
      <w:r w:rsidR="00875768">
        <w:rPr>
          <w:rFonts w:ascii="Palatino Linotype" w:hAnsi="Palatino Linotype"/>
        </w:rPr>
        <w:t xml:space="preserve">) </w:t>
      </w:r>
      <w:r w:rsidR="00375DF3">
        <w:rPr>
          <w:rFonts w:ascii="Palatino Linotype" w:hAnsi="Palatino Linotype"/>
        </w:rPr>
        <w:t>PERS</w:t>
      </w:r>
    </w:p>
    <w:p w14:paraId="11D32374" w14:textId="06E143F6" w:rsidR="00375DF3" w:rsidRDefault="00375DF3" w:rsidP="00875768">
      <w:pPr>
        <w:spacing w:after="0"/>
        <w:jc w:val="both"/>
        <w:rPr>
          <w:rFonts w:ascii="Palatino Linotype" w:hAnsi="Palatino Linotype"/>
        </w:rPr>
      </w:pPr>
      <w:r>
        <w:rPr>
          <w:rFonts w:ascii="Palatino Linotype" w:hAnsi="Palatino Linotype"/>
        </w:rPr>
        <w:t>3) Capital Projects</w:t>
      </w:r>
    </w:p>
    <w:p w14:paraId="7671D08D" w14:textId="77777777" w:rsidR="004E723F" w:rsidRDefault="004E723F" w:rsidP="00875768">
      <w:pPr>
        <w:spacing w:after="0"/>
        <w:jc w:val="both"/>
        <w:rPr>
          <w:rFonts w:ascii="Palatino Linotype" w:hAnsi="Palatino Linotype"/>
        </w:rPr>
      </w:pPr>
      <w:r>
        <w:rPr>
          <w:rFonts w:ascii="Palatino Linotype" w:hAnsi="Palatino Linotype"/>
        </w:rPr>
        <w:t>3) Sustainability Reserve</w:t>
      </w:r>
    </w:p>
    <w:p w14:paraId="1E21042A" w14:textId="7C2D1CC4" w:rsidR="00CD6F0E" w:rsidRDefault="00875768" w:rsidP="00F168A6">
      <w:pPr>
        <w:spacing w:after="0"/>
        <w:jc w:val="both"/>
        <w:rPr>
          <w:rFonts w:ascii="Palatino Linotype" w:hAnsi="Palatino Linotype"/>
          <w:b/>
          <w:sz w:val="32"/>
          <w:szCs w:val="32"/>
        </w:rPr>
      </w:pPr>
      <w:r>
        <w:rPr>
          <w:rFonts w:ascii="Palatino Linotype" w:hAnsi="Palatino Linotype"/>
        </w:rPr>
        <w:t>4</w:t>
      </w:r>
      <w:r w:rsidRPr="00AD3A86">
        <w:rPr>
          <w:rFonts w:ascii="Palatino Linotype" w:hAnsi="Palatino Linotype"/>
        </w:rPr>
        <w:t>)</w:t>
      </w:r>
      <w:r>
        <w:rPr>
          <w:rFonts w:ascii="Palatino Linotype" w:hAnsi="Palatino Linotype"/>
        </w:rPr>
        <w:t xml:space="preserve"> </w:t>
      </w:r>
      <w:r w:rsidRPr="00AD3A86">
        <w:rPr>
          <w:rFonts w:ascii="Palatino Linotype" w:hAnsi="Palatino Linotype"/>
        </w:rPr>
        <w:t>Unassigned</w:t>
      </w:r>
    </w:p>
    <w:sectPr w:rsidR="00CD6F0E" w:rsidSect="005500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F603" w14:textId="77777777" w:rsidR="00980CC5" w:rsidRDefault="00980CC5" w:rsidP="00875768">
      <w:pPr>
        <w:spacing w:after="0" w:line="240" w:lineRule="auto"/>
      </w:pPr>
      <w:r>
        <w:separator/>
      </w:r>
    </w:p>
  </w:endnote>
  <w:endnote w:type="continuationSeparator" w:id="0">
    <w:p w14:paraId="58053F39" w14:textId="77777777" w:rsidR="00980CC5" w:rsidRDefault="00980CC5" w:rsidP="00875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EF4AB" w14:textId="77777777" w:rsidR="00980CC5" w:rsidRDefault="00980CC5" w:rsidP="00875768">
      <w:pPr>
        <w:spacing w:after="0" w:line="240" w:lineRule="auto"/>
      </w:pPr>
      <w:r>
        <w:separator/>
      </w:r>
    </w:p>
  </w:footnote>
  <w:footnote w:type="continuationSeparator" w:id="0">
    <w:p w14:paraId="7F0FBC94" w14:textId="77777777" w:rsidR="00980CC5" w:rsidRDefault="00980CC5" w:rsidP="00875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9068" w14:textId="30F7257C" w:rsidR="00BC35C3" w:rsidRDefault="00BC35C3" w:rsidP="00BC35C3">
    <w:pPr>
      <w:pStyle w:val="Header"/>
      <w:jc w:val="right"/>
    </w:pPr>
    <w:r>
      <w:t>Attachment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9F7DD4"/>
    <w:multiLevelType w:val="hybridMultilevel"/>
    <w:tmpl w:val="087600A8"/>
    <w:lvl w:ilvl="0" w:tplc="5AB678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C026B"/>
    <w:multiLevelType w:val="hybridMultilevel"/>
    <w:tmpl w:val="08FE6B0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AB3129"/>
    <w:multiLevelType w:val="hybridMultilevel"/>
    <w:tmpl w:val="C66244A8"/>
    <w:lvl w:ilvl="0" w:tplc="C73E2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6B178C"/>
    <w:multiLevelType w:val="hybridMultilevel"/>
    <w:tmpl w:val="38C43D5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EC006F"/>
    <w:multiLevelType w:val="hybridMultilevel"/>
    <w:tmpl w:val="C42429D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4867ED9"/>
    <w:multiLevelType w:val="hybridMultilevel"/>
    <w:tmpl w:val="D1F2D2B6"/>
    <w:lvl w:ilvl="0" w:tplc="A2CAA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B33FA6"/>
    <w:multiLevelType w:val="hybridMultilevel"/>
    <w:tmpl w:val="1256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62767"/>
    <w:multiLevelType w:val="singleLevel"/>
    <w:tmpl w:val="FFFFFFFF"/>
    <w:lvl w:ilvl="0">
      <w:numFmt w:val="decimal"/>
      <w:lvlText w:val="*"/>
      <w:lvlJc w:val="left"/>
    </w:lvl>
  </w:abstractNum>
  <w:abstractNum w:abstractNumId="9" w15:restartNumberingAfterBreak="0">
    <w:nsid w:val="49FB6B40"/>
    <w:multiLevelType w:val="hybridMultilevel"/>
    <w:tmpl w:val="7AA44E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E577C5"/>
    <w:multiLevelType w:val="hybridMultilevel"/>
    <w:tmpl w:val="90CC51B2"/>
    <w:lvl w:ilvl="0" w:tplc="716A57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91518D"/>
    <w:multiLevelType w:val="hybridMultilevel"/>
    <w:tmpl w:val="909C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F869E5"/>
    <w:multiLevelType w:val="hybridMultilevel"/>
    <w:tmpl w:val="D1B0C4E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0158E1"/>
    <w:multiLevelType w:val="hybridMultilevel"/>
    <w:tmpl w:val="DF62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8"/>
  </w:num>
  <w:num w:numId="4">
    <w:abstractNumId w:val="2"/>
  </w:num>
  <w:num w:numId="5">
    <w:abstractNumId w:val="5"/>
  </w:num>
  <w:num w:numId="6">
    <w:abstractNumId w:val="4"/>
  </w:num>
  <w:num w:numId="7">
    <w:abstractNumId w:val="7"/>
  </w:num>
  <w:num w:numId="8">
    <w:abstractNumId w:val="1"/>
  </w:num>
  <w:num w:numId="9">
    <w:abstractNumId w:val="11"/>
  </w:num>
  <w:num w:numId="10">
    <w:abstractNumId w:val="13"/>
  </w:num>
  <w:num w:numId="11">
    <w:abstractNumId w:val="9"/>
  </w:num>
  <w:num w:numId="12">
    <w:abstractNumId w:val="6"/>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000"/>
    <w:rsid w:val="000029EB"/>
    <w:rsid w:val="00023480"/>
    <w:rsid w:val="00054EBE"/>
    <w:rsid w:val="00087AF4"/>
    <w:rsid w:val="000B0B55"/>
    <w:rsid w:val="000C74AA"/>
    <w:rsid w:val="000E1021"/>
    <w:rsid w:val="000F087C"/>
    <w:rsid w:val="000F279F"/>
    <w:rsid w:val="00105042"/>
    <w:rsid w:val="00113676"/>
    <w:rsid w:val="00126C3C"/>
    <w:rsid w:val="00136986"/>
    <w:rsid w:val="001439E0"/>
    <w:rsid w:val="00157DB0"/>
    <w:rsid w:val="00160A9B"/>
    <w:rsid w:val="00173620"/>
    <w:rsid w:val="00194277"/>
    <w:rsid w:val="001C7C8A"/>
    <w:rsid w:val="001D7E44"/>
    <w:rsid w:val="001E7AB5"/>
    <w:rsid w:val="001E7D2A"/>
    <w:rsid w:val="00220AC5"/>
    <w:rsid w:val="00224323"/>
    <w:rsid w:val="00224B8E"/>
    <w:rsid w:val="002262D7"/>
    <w:rsid w:val="0023062E"/>
    <w:rsid w:val="002378B4"/>
    <w:rsid w:val="002736B3"/>
    <w:rsid w:val="002B5A03"/>
    <w:rsid w:val="002C237D"/>
    <w:rsid w:val="00307462"/>
    <w:rsid w:val="00310A8C"/>
    <w:rsid w:val="00312DCD"/>
    <w:rsid w:val="003134A8"/>
    <w:rsid w:val="00332588"/>
    <w:rsid w:val="00355901"/>
    <w:rsid w:val="003639CD"/>
    <w:rsid w:val="0037380F"/>
    <w:rsid w:val="00375DF3"/>
    <w:rsid w:val="003B0668"/>
    <w:rsid w:val="003B4B57"/>
    <w:rsid w:val="003C48E3"/>
    <w:rsid w:val="003E12D4"/>
    <w:rsid w:val="003F2A3E"/>
    <w:rsid w:val="003F64F4"/>
    <w:rsid w:val="00410C51"/>
    <w:rsid w:val="00453EDF"/>
    <w:rsid w:val="0045590F"/>
    <w:rsid w:val="00465928"/>
    <w:rsid w:val="004713CD"/>
    <w:rsid w:val="00476D9C"/>
    <w:rsid w:val="004843F8"/>
    <w:rsid w:val="00491732"/>
    <w:rsid w:val="004B7E11"/>
    <w:rsid w:val="004C61C7"/>
    <w:rsid w:val="004C7500"/>
    <w:rsid w:val="004D4823"/>
    <w:rsid w:val="004D700E"/>
    <w:rsid w:val="004E2A04"/>
    <w:rsid w:val="004E2DB8"/>
    <w:rsid w:val="004E723F"/>
    <w:rsid w:val="004F1D5B"/>
    <w:rsid w:val="004F6568"/>
    <w:rsid w:val="005160B3"/>
    <w:rsid w:val="0051714C"/>
    <w:rsid w:val="00525A0E"/>
    <w:rsid w:val="00531879"/>
    <w:rsid w:val="0055005B"/>
    <w:rsid w:val="00566E1C"/>
    <w:rsid w:val="005931B2"/>
    <w:rsid w:val="005D5851"/>
    <w:rsid w:val="00622720"/>
    <w:rsid w:val="0063048D"/>
    <w:rsid w:val="006310F9"/>
    <w:rsid w:val="00635B99"/>
    <w:rsid w:val="00641236"/>
    <w:rsid w:val="00651894"/>
    <w:rsid w:val="006657E4"/>
    <w:rsid w:val="00680F2C"/>
    <w:rsid w:val="00681782"/>
    <w:rsid w:val="00685276"/>
    <w:rsid w:val="00696BE9"/>
    <w:rsid w:val="0069713F"/>
    <w:rsid w:val="006C501C"/>
    <w:rsid w:val="006D24E5"/>
    <w:rsid w:val="006D3EA2"/>
    <w:rsid w:val="006E3F8B"/>
    <w:rsid w:val="00700748"/>
    <w:rsid w:val="00711CE0"/>
    <w:rsid w:val="0071386C"/>
    <w:rsid w:val="00731881"/>
    <w:rsid w:val="0075312F"/>
    <w:rsid w:val="00757292"/>
    <w:rsid w:val="007572F6"/>
    <w:rsid w:val="00760F33"/>
    <w:rsid w:val="007614A8"/>
    <w:rsid w:val="007A18D8"/>
    <w:rsid w:val="007C16E3"/>
    <w:rsid w:val="007D71DF"/>
    <w:rsid w:val="007E4AE6"/>
    <w:rsid w:val="007F31CD"/>
    <w:rsid w:val="00806549"/>
    <w:rsid w:val="00810890"/>
    <w:rsid w:val="00815C1A"/>
    <w:rsid w:val="00821B84"/>
    <w:rsid w:val="008223BC"/>
    <w:rsid w:val="00831367"/>
    <w:rsid w:val="00853F07"/>
    <w:rsid w:val="00854183"/>
    <w:rsid w:val="008562CF"/>
    <w:rsid w:val="0086058A"/>
    <w:rsid w:val="0086112B"/>
    <w:rsid w:val="00866518"/>
    <w:rsid w:val="00875768"/>
    <w:rsid w:val="00881BD8"/>
    <w:rsid w:val="0088399B"/>
    <w:rsid w:val="008A3A62"/>
    <w:rsid w:val="008A53F1"/>
    <w:rsid w:val="008A74DE"/>
    <w:rsid w:val="008B7F27"/>
    <w:rsid w:val="008C566D"/>
    <w:rsid w:val="008D389B"/>
    <w:rsid w:val="008D4528"/>
    <w:rsid w:val="008D523F"/>
    <w:rsid w:val="008F4676"/>
    <w:rsid w:val="009074F3"/>
    <w:rsid w:val="00910642"/>
    <w:rsid w:val="0091793F"/>
    <w:rsid w:val="00922A61"/>
    <w:rsid w:val="00943529"/>
    <w:rsid w:val="00950621"/>
    <w:rsid w:val="00960212"/>
    <w:rsid w:val="0096724F"/>
    <w:rsid w:val="00975FAB"/>
    <w:rsid w:val="00980CC5"/>
    <w:rsid w:val="00983553"/>
    <w:rsid w:val="00991D97"/>
    <w:rsid w:val="009A7CB5"/>
    <w:rsid w:val="009C3E02"/>
    <w:rsid w:val="009F0C8F"/>
    <w:rsid w:val="00A02B2B"/>
    <w:rsid w:val="00A24DA6"/>
    <w:rsid w:val="00A4696F"/>
    <w:rsid w:val="00A57A4B"/>
    <w:rsid w:val="00A60354"/>
    <w:rsid w:val="00A628E3"/>
    <w:rsid w:val="00A94AC9"/>
    <w:rsid w:val="00A955F1"/>
    <w:rsid w:val="00AB3928"/>
    <w:rsid w:val="00AB432D"/>
    <w:rsid w:val="00AB6536"/>
    <w:rsid w:val="00AD18AF"/>
    <w:rsid w:val="00AD2909"/>
    <w:rsid w:val="00AD3A86"/>
    <w:rsid w:val="00AE4DD7"/>
    <w:rsid w:val="00AF089F"/>
    <w:rsid w:val="00B005ED"/>
    <w:rsid w:val="00B008CE"/>
    <w:rsid w:val="00B12935"/>
    <w:rsid w:val="00B25DC6"/>
    <w:rsid w:val="00B304FF"/>
    <w:rsid w:val="00B34903"/>
    <w:rsid w:val="00B47E9B"/>
    <w:rsid w:val="00B65729"/>
    <w:rsid w:val="00B7279D"/>
    <w:rsid w:val="00B74470"/>
    <w:rsid w:val="00B966C6"/>
    <w:rsid w:val="00BA74FF"/>
    <w:rsid w:val="00BC35C3"/>
    <w:rsid w:val="00BC36AB"/>
    <w:rsid w:val="00BD0440"/>
    <w:rsid w:val="00BE0BDC"/>
    <w:rsid w:val="00BF5B11"/>
    <w:rsid w:val="00BF74CF"/>
    <w:rsid w:val="00C166B7"/>
    <w:rsid w:val="00C45534"/>
    <w:rsid w:val="00C47393"/>
    <w:rsid w:val="00C657E8"/>
    <w:rsid w:val="00C955E0"/>
    <w:rsid w:val="00CA6BAC"/>
    <w:rsid w:val="00CB496A"/>
    <w:rsid w:val="00CD6F0E"/>
    <w:rsid w:val="00CE1660"/>
    <w:rsid w:val="00CE7F2F"/>
    <w:rsid w:val="00CF0A96"/>
    <w:rsid w:val="00D05703"/>
    <w:rsid w:val="00D129F7"/>
    <w:rsid w:val="00D2223C"/>
    <w:rsid w:val="00D23BF2"/>
    <w:rsid w:val="00D31D49"/>
    <w:rsid w:val="00D31D97"/>
    <w:rsid w:val="00D501A2"/>
    <w:rsid w:val="00D66633"/>
    <w:rsid w:val="00D743FF"/>
    <w:rsid w:val="00D945AC"/>
    <w:rsid w:val="00DD1A00"/>
    <w:rsid w:val="00DF3E66"/>
    <w:rsid w:val="00DF702B"/>
    <w:rsid w:val="00E01286"/>
    <w:rsid w:val="00E041E9"/>
    <w:rsid w:val="00E403E7"/>
    <w:rsid w:val="00E43B60"/>
    <w:rsid w:val="00E531C0"/>
    <w:rsid w:val="00E76AE1"/>
    <w:rsid w:val="00E913B4"/>
    <w:rsid w:val="00E95ACE"/>
    <w:rsid w:val="00EA3809"/>
    <w:rsid w:val="00EA62E3"/>
    <w:rsid w:val="00EC0981"/>
    <w:rsid w:val="00EC787F"/>
    <w:rsid w:val="00ED1348"/>
    <w:rsid w:val="00EE78C7"/>
    <w:rsid w:val="00F12261"/>
    <w:rsid w:val="00F168A6"/>
    <w:rsid w:val="00F233AA"/>
    <w:rsid w:val="00F44426"/>
    <w:rsid w:val="00F54549"/>
    <w:rsid w:val="00F666B4"/>
    <w:rsid w:val="00F84B74"/>
    <w:rsid w:val="00FA01BA"/>
    <w:rsid w:val="00FB5990"/>
    <w:rsid w:val="00FC3CDF"/>
    <w:rsid w:val="00FE06C6"/>
    <w:rsid w:val="00FE6000"/>
    <w:rsid w:val="00FE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96D3"/>
  <w15:docId w15:val="{A7FE12AB-237E-471F-B865-2D8CAF2E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5B"/>
  </w:style>
  <w:style w:type="paragraph" w:styleId="Heading1">
    <w:name w:val="heading 1"/>
    <w:basedOn w:val="Normal"/>
    <w:next w:val="Normal"/>
    <w:link w:val="Heading1Char"/>
    <w:qFormat/>
    <w:rsid w:val="00D743FF"/>
    <w:pPr>
      <w:keepNext/>
      <w:spacing w:after="0" w:line="240" w:lineRule="auto"/>
      <w:jc w:val="both"/>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43FF"/>
    <w:rPr>
      <w:rFonts w:ascii="Times New Roman" w:eastAsia="Times New Roman" w:hAnsi="Times New Roman" w:cs="Times New Roman"/>
      <w:b/>
      <w:sz w:val="24"/>
      <w:szCs w:val="20"/>
    </w:rPr>
  </w:style>
  <w:style w:type="table" w:styleId="TableGrid">
    <w:name w:val="Table Grid"/>
    <w:basedOn w:val="TableNormal"/>
    <w:uiPriority w:val="59"/>
    <w:rsid w:val="004B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4B7E1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8D389B"/>
    <w:pPr>
      <w:ind w:left="720"/>
      <w:contextualSpacing/>
    </w:pPr>
  </w:style>
  <w:style w:type="paragraph" w:styleId="BalloonText">
    <w:name w:val="Balloon Text"/>
    <w:basedOn w:val="Normal"/>
    <w:link w:val="BalloonTextChar"/>
    <w:uiPriority w:val="99"/>
    <w:semiHidden/>
    <w:unhideWhenUsed/>
    <w:rsid w:val="008D3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89B"/>
    <w:rPr>
      <w:rFonts w:ascii="Tahoma" w:hAnsi="Tahoma" w:cs="Tahoma"/>
      <w:sz w:val="16"/>
      <w:szCs w:val="16"/>
    </w:rPr>
  </w:style>
  <w:style w:type="paragraph" w:styleId="BodyText">
    <w:name w:val="Body Text"/>
    <w:basedOn w:val="Normal"/>
    <w:link w:val="BodyTextChar"/>
    <w:uiPriority w:val="1"/>
    <w:qFormat/>
    <w:rsid w:val="00AD3A86"/>
    <w:pPr>
      <w:autoSpaceDE w:val="0"/>
      <w:autoSpaceDN w:val="0"/>
      <w:adjustRightInd w:val="0"/>
      <w:spacing w:after="0" w:line="240" w:lineRule="auto"/>
      <w:ind w:left="81"/>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AD3A86"/>
    <w:rPr>
      <w:rFonts w:ascii="Times New Roman" w:hAnsi="Times New Roman" w:cs="Times New Roman"/>
      <w:sz w:val="24"/>
      <w:szCs w:val="24"/>
    </w:rPr>
  </w:style>
  <w:style w:type="paragraph" w:customStyle="1" w:styleId="Default">
    <w:name w:val="Default"/>
    <w:rsid w:val="003134A8"/>
    <w:pPr>
      <w:autoSpaceDE w:val="0"/>
      <w:autoSpaceDN w:val="0"/>
      <w:adjustRightInd w:val="0"/>
      <w:spacing w:after="0" w:line="240" w:lineRule="auto"/>
    </w:pPr>
    <w:rPr>
      <w:rFonts w:ascii="Palatino Linotype" w:hAnsi="Palatino Linotype" w:cs="Palatino Linotype"/>
      <w:color w:val="000000"/>
      <w:sz w:val="24"/>
      <w:szCs w:val="24"/>
    </w:rPr>
  </w:style>
  <w:style w:type="paragraph" w:styleId="FootnoteText">
    <w:name w:val="footnote text"/>
    <w:basedOn w:val="Normal"/>
    <w:link w:val="FootnoteTextChar"/>
    <w:uiPriority w:val="99"/>
    <w:semiHidden/>
    <w:unhideWhenUsed/>
    <w:rsid w:val="008757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5768"/>
    <w:rPr>
      <w:sz w:val="20"/>
      <w:szCs w:val="20"/>
    </w:rPr>
  </w:style>
  <w:style w:type="character" w:styleId="FootnoteReference">
    <w:name w:val="footnote reference"/>
    <w:basedOn w:val="DefaultParagraphFont"/>
    <w:uiPriority w:val="99"/>
    <w:semiHidden/>
    <w:unhideWhenUsed/>
    <w:rsid w:val="00875768"/>
    <w:rPr>
      <w:vertAlign w:val="superscript"/>
    </w:rPr>
  </w:style>
  <w:style w:type="character" w:styleId="CommentReference">
    <w:name w:val="annotation reference"/>
    <w:basedOn w:val="DefaultParagraphFont"/>
    <w:uiPriority w:val="99"/>
    <w:semiHidden/>
    <w:unhideWhenUsed/>
    <w:rsid w:val="00681782"/>
    <w:rPr>
      <w:sz w:val="16"/>
      <w:szCs w:val="16"/>
    </w:rPr>
  </w:style>
  <w:style w:type="paragraph" w:styleId="CommentText">
    <w:name w:val="annotation text"/>
    <w:basedOn w:val="Normal"/>
    <w:link w:val="CommentTextChar"/>
    <w:uiPriority w:val="99"/>
    <w:semiHidden/>
    <w:unhideWhenUsed/>
    <w:rsid w:val="00681782"/>
    <w:pPr>
      <w:spacing w:line="240" w:lineRule="auto"/>
    </w:pPr>
    <w:rPr>
      <w:sz w:val="20"/>
      <w:szCs w:val="20"/>
    </w:rPr>
  </w:style>
  <w:style w:type="character" w:customStyle="1" w:styleId="CommentTextChar">
    <w:name w:val="Comment Text Char"/>
    <w:basedOn w:val="DefaultParagraphFont"/>
    <w:link w:val="CommentText"/>
    <w:uiPriority w:val="99"/>
    <w:semiHidden/>
    <w:rsid w:val="00681782"/>
    <w:rPr>
      <w:sz w:val="20"/>
      <w:szCs w:val="20"/>
    </w:rPr>
  </w:style>
  <w:style w:type="paragraph" w:styleId="CommentSubject">
    <w:name w:val="annotation subject"/>
    <w:basedOn w:val="CommentText"/>
    <w:next w:val="CommentText"/>
    <w:link w:val="CommentSubjectChar"/>
    <w:uiPriority w:val="99"/>
    <w:semiHidden/>
    <w:unhideWhenUsed/>
    <w:rsid w:val="00681782"/>
    <w:rPr>
      <w:b/>
      <w:bCs/>
    </w:rPr>
  </w:style>
  <w:style w:type="character" w:customStyle="1" w:styleId="CommentSubjectChar">
    <w:name w:val="Comment Subject Char"/>
    <w:basedOn w:val="CommentTextChar"/>
    <w:link w:val="CommentSubject"/>
    <w:uiPriority w:val="99"/>
    <w:semiHidden/>
    <w:rsid w:val="00681782"/>
    <w:rPr>
      <w:b/>
      <w:bCs/>
      <w:sz w:val="20"/>
      <w:szCs w:val="20"/>
    </w:rPr>
  </w:style>
  <w:style w:type="paragraph" w:styleId="Header">
    <w:name w:val="header"/>
    <w:basedOn w:val="Normal"/>
    <w:link w:val="HeaderChar"/>
    <w:uiPriority w:val="99"/>
    <w:unhideWhenUsed/>
    <w:rsid w:val="00DF7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02B"/>
  </w:style>
  <w:style w:type="paragraph" w:styleId="Footer">
    <w:name w:val="footer"/>
    <w:basedOn w:val="Normal"/>
    <w:link w:val="FooterChar"/>
    <w:uiPriority w:val="99"/>
    <w:unhideWhenUsed/>
    <w:rsid w:val="00DF7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02B"/>
  </w:style>
  <w:style w:type="paragraph" w:styleId="Revision">
    <w:name w:val="Revision"/>
    <w:hidden/>
    <w:uiPriority w:val="99"/>
    <w:semiHidden/>
    <w:rsid w:val="008D45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0493">
      <w:bodyDiv w:val="1"/>
      <w:marLeft w:val="0"/>
      <w:marRight w:val="0"/>
      <w:marTop w:val="0"/>
      <w:marBottom w:val="0"/>
      <w:divBdr>
        <w:top w:val="none" w:sz="0" w:space="0" w:color="auto"/>
        <w:left w:val="none" w:sz="0" w:space="0" w:color="auto"/>
        <w:bottom w:val="none" w:sz="0" w:space="0" w:color="auto"/>
        <w:right w:val="none" w:sz="0" w:space="0" w:color="auto"/>
      </w:divBdr>
    </w:div>
    <w:div w:id="173231954">
      <w:bodyDiv w:val="1"/>
      <w:marLeft w:val="0"/>
      <w:marRight w:val="0"/>
      <w:marTop w:val="0"/>
      <w:marBottom w:val="0"/>
      <w:divBdr>
        <w:top w:val="none" w:sz="0" w:space="0" w:color="auto"/>
        <w:left w:val="none" w:sz="0" w:space="0" w:color="auto"/>
        <w:bottom w:val="none" w:sz="0" w:space="0" w:color="auto"/>
        <w:right w:val="none" w:sz="0" w:space="0" w:color="auto"/>
      </w:divBdr>
    </w:div>
    <w:div w:id="339553134">
      <w:bodyDiv w:val="1"/>
      <w:marLeft w:val="0"/>
      <w:marRight w:val="0"/>
      <w:marTop w:val="0"/>
      <w:marBottom w:val="0"/>
      <w:divBdr>
        <w:top w:val="none" w:sz="0" w:space="0" w:color="auto"/>
        <w:left w:val="none" w:sz="0" w:space="0" w:color="auto"/>
        <w:bottom w:val="none" w:sz="0" w:space="0" w:color="auto"/>
        <w:right w:val="none" w:sz="0" w:space="0" w:color="auto"/>
      </w:divBdr>
    </w:div>
    <w:div w:id="361057707">
      <w:bodyDiv w:val="1"/>
      <w:marLeft w:val="0"/>
      <w:marRight w:val="0"/>
      <w:marTop w:val="0"/>
      <w:marBottom w:val="0"/>
      <w:divBdr>
        <w:top w:val="none" w:sz="0" w:space="0" w:color="auto"/>
        <w:left w:val="none" w:sz="0" w:space="0" w:color="auto"/>
        <w:bottom w:val="none" w:sz="0" w:space="0" w:color="auto"/>
        <w:right w:val="none" w:sz="0" w:space="0" w:color="auto"/>
      </w:divBdr>
    </w:div>
    <w:div w:id="477845998">
      <w:bodyDiv w:val="1"/>
      <w:marLeft w:val="0"/>
      <w:marRight w:val="0"/>
      <w:marTop w:val="0"/>
      <w:marBottom w:val="0"/>
      <w:divBdr>
        <w:top w:val="none" w:sz="0" w:space="0" w:color="auto"/>
        <w:left w:val="none" w:sz="0" w:space="0" w:color="auto"/>
        <w:bottom w:val="none" w:sz="0" w:space="0" w:color="auto"/>
        <w:right w:val="none" w:sz="0" w:space="0" w:color="auto"/>
      </w:divBdr>
    </w:div>
    <w:div w:id="529029417">
      <w:bodyDiv w:val="1"/>
      <w:marLeft w:val="0"/>
      <w:marRight w:val="0"/>
      <w:marTop w:val="0"/>
      <w:marBottom w:val="0"/>
      <w:divBdr>
        <w:top w:val="none" w:sz="0" w:space="0" w:color="auto"/>
        <w:left w:val="none" w:sz="0" w:space="0" w:color="auto"/>
        <w:bottom w:val="none" w:sz="0" w:space="0" w:color="auto"/>
        <w:right w:val="none" w:sz="0" w:space="0" w:color="auto"/>
      </w:divBdr>
    </w:div>
    <w:div w:id="616329880">
      <w:bodyDiv w:val="1"/>
      <w:marLeft w:val="0"/>
      <w:marRight w:val="0"/>
      <w:marTop w:val="0"/>
      <w:marBottom w:val="0"/>
      <w:divBdr>
        <w:top w:val="none" w:sz="0" w:space="0" w:color="auto"/>
        <w:left w:val="none" w:sz="0" w:space="0" w:color="auto"/>
        <w:bottom w:val="none" w:sz="0" w:space="0" w:color="auto"/>
        <w:right w:val="none" w:sz="0" w:space="0" w:color="auto"/>
      </w:divBdr>
    </w:div>
    <w:div w:id="646785297">
      <w:bodyDiv w:val="1"/>
      <w:marLeft w:val="0"/>
      <w:marRight w:val="0"/>
      <w:marTop w:val="0"/>
      <w:marBottom w:val="0"/>
      <w:divBdr>
        <w:top w:val="none" w:sz="0" w:space="0" w:color="auto"/>
        <w:left w:val="none" w:sz="0" w:space="0" w:color="auto"/>
        <w:bottom w:val="none" w:sz="0" w:space="0" w:color="auto"/>
        <w:right w:val="none" w:sz="0" w:space="0" w:color="auto"/>
      </w:divBdr>
    </w:div>
    <w:div w:id="934632371">
      <w:bodyDiv w:val="1"/>
      <w:marLeft w:val="0"/>
      <w:marRight w:val="0"/>
      <w:marTop w:val="0"/>
      <w:marBottom w:val="0"/>
      <w:divBdr>
        <w:top w:val="none" w:sz="0" w:space="0" w:color="auto"/>
        <w:left w:val="none" w:sz="0" w:space="0" w:color="auto"/>
        <w:bottom w:val="none" w:sz="0" w:space="0" w:color="auto"/>
        <w:right w:val="none" w:sz="0" w:space="0" w:color="auto"/>
      </w:divBdr>
    </w:div>
    <w:div w:id="1350981777">
      <w:bodyDiv w:val="1"/>
      <w:marLeft w:val="0"/>
      <w:marRight w:val="0"/>
      <w:marTop w:val="0"/>
      <w:marBottom w:val="0"/>
      <w:divBdr>
        <w:top w:val="none" w:sz="0" w:space="0" w:color="auto"/>
        <w:left w:val="none" w:sz="0" w:space="0" w:color="auto"/>
        <w:bottom w:val="none" w:sz="0" w:space="0" w:color="auto"/>
        <w:right w:val="none" w:sz="0" w:space="0" w:color="auto"/>
      </w:divBdr>
    </w:div>
    <w:div w:id="1480459709">
      <w:bodyDiv w:val="1"/>
      <w:marLeft w:val="0"/>
      <w:marRight w:val="0"/>
      <w:marTop w:val="0"/>
      <w:marBottom w:val="0"/>
      <w:divBdr>
        <w:top w:val="none" w:sz="0" w:space="0" w:color="auto"/>
        <w:left w:val="none" w:sz="0" w:space="0" w:color="auto"/>
        <w:bottom w:val="none" w:sz="0" w:space="0" w:color="auto"/>
        <w:right w:val="none" w:sz="0" w:space="0" w:color="auto"/>
      </w:divBdr>
    </w:div>
    <w:div w:id="1876307533">
      <w:bodyDiv w:val="1"/>
      <w:marLeft w:val="0"/>
      <w:marRight w:val="0"/>
      <w:marTop w:val="0"/>
      <w:marBottom w:val="0"/>
      <w:divBdr>
        <w:top w:val="none" w:sz="0" w:space="0" w:color="auto"/>
        <w:left w:val="none" w:sz="0" w:space="0" w:color="auto"/>
        <w:bottom w:val="none" w:sz="0" w:space="0" w:color="auto"/>
        <w:right w:val="none" w:sz="0" w:space="0" w:color="auto"/>
      </w:divBdr>
    </w:div>
    <w:div w:id="195193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D9298-5A65-4C6C-B6B5-77B8262E1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Alfaro</dc:creator>
  <cp:lastModifiedBy>Zach Korach</cp:lastModifiedBy>
  <cp:revision>19</cp:revision>
  <cp:lastPrinted>2018-05-01T16:35:00Z</cp:lastPrinted>
  <dcterms:created xsi:type="dcterms:W3CDTF">2018-07-13T20:16:00Z</dcterms:created>
  <dcterms:modified xsi:type="dcterms:W3CDTF">2022-02-16T00:13:00Z</dcterms:modified>
</cp:coreProperties>
</file>