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12568A28"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2C24A1">
        <w:rPr>
          <w:rFonts w:ascii="Arial" w:hAnsi="Arial" w:cs="Arial"/>
          <w:sz w:val="24"/>
          <w:szCs w:val="24"/>
        </w:rPr>
        <w:t>13.1</w:t>
      </w:r>
    </w:p>
    <w:p w14:paraId="76986E59" w14:textId="2FC6E861"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E210BA">
        <w:rPr>
          <w:rFonts w:ascii="Arial" w:hAnsi="Arial" w:cs="Arial"/>
          <w:sz w:val="24"/>
          <w:szCs w:val="24"/>
        </w:rPr>
        <w:t>September 24, 2024</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1F2537EA" w:rsidR="0033698E"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E210BA">
        <w:rPr>
          <w:rFonts w:ascii="Arial" w:hAnsi="Arial" w:cs="Arial"/>
          <w:sz w:val="24"/>
          <w:szCs w:val="24"/>
        </w:rPr>
        <w:t>DONTE WATSON, DIRECTOR, RECREATION AND PARKS</w:t>
      </w:r>
    </w:p>
    <w:p w14:paraId="76986E62" w14:textId="3AF19D0F"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E210BA">
        <w:rPr>
          <w:rFonts w:ascii="Arial" w:hAnsi="Arial" w:cs="Arial"/>
          <w:sz w:val="24"/>
          <w:szCs w:val="24"/>
        </w:rPr>
        <w:t>MEASURE H (202</w:t>
      </w:r>
      <w:r w:rsidR="00550FB1">
        <w:rPr>
          <w:rFonts w:ascii="Arial" w:hAnsi="Arial" w:cs="Arial"/>
          <w:sz w:val="24"/>
          <w:szCs w:val="24"/>
        </w:rPr>
        <w:t>2</w:t>
      </w:r>
      <w:r w:rsidR="00E210BA">
        <w:rPr>
          <w:rFonts w:ascii="Arial" w:hAnsi="Arial" w:cs="Arial"/>
          <w:sz w:val="24"/>
          <w:szCs w:val="24"/>
        </w:rPr>
        <w:t>) CHOICE CYCLE XII GRANT PROGRAM FUNDING RECOMMENDATIONS</w:t>
      </w:r>
    </w:p>
    <w:p w14:paraId="76986E63" w14:textId="77777777" w:rsidR="0033698E" w:rsidRPr="0033698E" w:rsidRDefault="0033698E" w:rsidP="0033698E">
      <w:pPr>
        <w:spacing w:after="0" w:line="240" w:lineRule="auto"/>
        <w:rPr>
          <w:rFonts w:ascii="Arial" w:hAnsi="Arial" w:cs="Arial"/>
          <w:sz w:val="24"/>
          <w:szCs w:val="24"/>
        </w:rPr>
      </w:pPr>
    </w:p>
    <w:p w14:paraId="76986E64" w14:textId="72C6FF46"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E210BA">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4B74EE73" w14:textId="31059108" w:rsidR="00E210BA" w:rsidRDefault="00E210BA" w:rsidP="00E210BA">
      <w:pPr>
        <w:pStyle w:val="BodyText"/>
        <w:spacing w:before="92"/>
        <w:ind w:right="302"/>
      </w:pPr>
      <w:bookmarkStart w:id="0" w:name="_Hlk176792853"/>
      <w:r>
        <w:t xml:space="preserve">It is recommended by the Recreation </w:t>
      </w:r>
      <w:r w:rsidR="004C3CD5">
        <w:t>and</w:t>
      </w:r>
      <w:r>
        <w:t xml:space="preserve"> Parks Department, Violence Prevention Partnership</w:t>
      </w:r>
      <w:r w:rsidR="007D4202">
        <w:t>,</w:t>
      </w:r>
      <w:r>
        <w:t xml:space="preserve"> that the Council, by resolution: 1) adopt the yearly funding recommendations of the Grant</w:t>
      </w:r>
      <w:r>
        <w:rPr>
          <w:spacing w:val="1"/>
        </w:rPr>
        <w:t xml:space="preserve"> </w:t>
      </w:r>
      <w:r>
        <w:t>Review</w:t>
      </w:r>
      <w:r>
        <w:rPr>
          <w:spacing w:val="-1"/>
        </w:rPr>
        <w:t xml:space="preserve"> </w:t>
      </w:r>
      <w:r>
        <w:t>Team</w:t>
      </w:r>
      <w:r>
        <w:rPr>
          <w:spacing w:val="2"/>
        </w:rPr>
        <w:t xml:space="preserve"> </w:t>
      </w:r>
      <w:r>
        <w:t>for the</w:t>
      </w:r>
      <w:r>
        <w:rPr>
          <w:spacing w:val="-1"/>
        </w:rPr>
        <w:t xml:space="preserve"> </w:t>
      </w:r>
      <w:r>
        <w:t>Measure</w:t>
      </w:r>
      <w:r>
        <w:rPr>
          <w:spacing w:val="2"/>
        </w:rPr>
        <w:t xml:space="preserve"> </w:t>
      </w:r>
      <w:r>
        <w:rPr>
          <w:color w:val="000000" w:themeColor="text1"/>
        </w:rPr>
        <w:t>H</w:t>
      </w:r>
      <w:r w:rsidRPr="00FB5885">
        <w:rPr>
          <w:color w:val="000000" w:themeColor="text1"/>
          <w:spacing w:val="1"/>
        </w:rPr>
        <w:t xml:space="preserve"> </w:t>
      </w:r>
      <w:r w:rsidRPr="00FB5885">
        <w:rPr>
          <w:color w:val="000000" w:themeColor="text1"/>
        </w:rPr>
        <w:t>(20</w:t>
      </w:r>
      <w:r>
        <w:rPr>
          <w:color w:val="000000" w:themeColor="text1"/>
        </w:rPr>
        <w:t>22</w:t>
      </w:r>
      <w:r w:rsidRPr="00FB5885">
        <w:rPr>
          <w:color w:val="000000" w:themeColor="text1"/>
        </w:rPr>
        <w:t>)</w:t>
      </w:r>
      <w:r w:rsidRPr="00FB5885">
        <w:rPr>
          <w:color w:val="000000" w:themeColor="text1"/>
          <w:spacing w:val="3"/>
        </w:rPr>
        <w:t xml:space="preserve"> </w:t>
      </w:r>
      <w:r w:rsidRPr="00FB5885">
        <w:rPr>
          <w:color w:val="000000" w:themeColor="text1"/>
        </w:rPr>
        <w:t>CHOICE</w:t>
      </w:r>
      <w:r w:rsidRPr="00FB5885">
        <w:rPr>
          <w:color w:val="000000" w:themeColor="text1"/>
          <w:spacing w:val="2"/>
        </w:rPr>
        <w:t xml:space="preserve"> </w:t>
      </w:r>
      <w:r w:rsidRPr="00FB5885">
        <w:rPr>
          <w:color w:val="000000" w:themeColor="text1"/>
        </w:rPr>
        <w:t>Cycle</w:t>
      </w:r>
      <w:r w:rsidRPr="00FB5885">
        <w:rPr>
          <w:color w:val="000000" w:themeColor="text1"/>
          <w:spacing w:val="3"/>
        </w:rPr>
        <w:t xml:space="preserve"> </w:t>
      </w:r>
      <w:r w:rsidRPr="00FB5885">
        <w:rPr>
          <w:color w:val="000000" w:themeColor="text1"/>
        </w:rPr>
        <w:t>XI</w:t>
      </w:r>
      <w:r>
        <w:rPr>
          <w:color w:val="000000" w:themeColor="text1"/>
        </w:rPr>
        <w:t>I</w:t>
      </w:r>
      <w:r w:rsidRPr="00FB5885">
        <w:rPr>
          <w:color w:val="000000" w:themeColor="text1"/>
          <w:spacing w:val="1"/>
        </w:rPr>
        <w:t xml:space="preserve"> </w:t>
      </w:r>
      <w:r w:rsidRPr="00FB5885">
        <w:rPr>
          <w:color w:val="000000" w:themeColor="text1"/>
        </w:rPr>
        <w:t>Grant</w:t>
      </w:r>
      <w:r w:rsidRPr="00FB5885">
        <w:rPr>
          <w:color w:val="000000" w:themeColor="text1"/>
          <w:spacing w:val="3"/>
        </w:rPr>
        <w:t xml:space="preserve"> </w:t>
      </w:r>
      <w:r w:rsidRPr="00FB5885">
        <w:rPr>
          <w:color w:val="000000" w:themeColor="text1"/>
        </w:rPr>
        <w:t>Program</w:t>
      </w:r>
      <w:r w:rsidRPr="00FB5885">
        <w:rPr>
          <w:color w:val="000000" w:themeColor="text1"/>
          <w:spacing w:val="3"/>
        </w:rPr>
        <w:t xml:space="preserve"> </w:t>
      </w:r>
      <w:r w:rsidRPr="00FB5885">
        <w:rPr>
          <w:color w:val="000000" w:themeColor="text1"/>
        </w:rPr>
        <w:t>with</w:t>
      </w:r>
      <w:r w:rsidRPr="00FB5885">
        <w:rPr>
          <w:color w:val="000000" w:themeColor="text1"/>
          <w:spacing w:val="3"/>
        </w:rPr>
        <w:t xml:space="preserve"> </w:t>
      </w:r>
      <w:r w:rsidR="008445AE">
        <w:rPr>
          <w:color w:val="000000" w:themeColor="text1"/>
        </w:rPr>
        <w:t>Y</w:t>
      </w:r>
      <w:r w:rsidRPr="00FB5885">
        <w:rPr>
          <w:color w:val="000000" w:themeColor="text1"/>
        </w:rPr>
        <w:t>ear</w:t>
      </w:r>
      <w:r w:rsidRPr="00FB5885">
        <w:rPr>
          <w:color w:val="000000" w:themeColor="text1"/>
          <w:spacing w:val="1"/>
        </w:rPr>
        <w:t xml:space="preserve"> </w:t>
      </w:r>
      <w:r w:rsidR="008445AE">
        <w:rPr>
          <w:color w:val="000000" w:themeColor="text1"/>
        </w:rPr>
        <w:t>T</w:t>
      </w:r>
      <w:r w:rsidRPr="00FB5885">
        <w:rPr>
          <w:color w:val="000000" w:themeColor="text1"/>
        </w:rPr>
        <w:t xml:space="preserve">wo funding contingent on successful completion of </w:t>
      </w:r>
      <w:r w:rsidR="00FB7271">
        <w:rPr>
          <w:color w:val="000000" w:themeColor="text1"/>
        </w:rPr>
        <w:t>Y</w:t>
      </w:r>
      <w:r w:rsidRPr="00FB5885">
        <w:rPr>
          <w:color w:val="000000" w:themeColor="text1"/>
        </w:rPr>
        <w:t xml:space="preserve">ear </w:t>
      </w:r>
      <w:r w:rsidR="00FB7271">
        <w:rPr>
          <w:color w:val="000000" w:themeColor="text1"/>
        </w:rPr>
        <w:t>O</w:t>
      </w:r>
      <w:r w:rsidRPr="00FB5885">
        <w:rPr>
          <w:color w:val="000000" w:themeColor="text1"/>
        </w:rPr>
        <w:t>ne</w:t>
      </w:r>
      <w:r>
        <w:rPr>
          <w:color w:val="000000" w:themeColor="text1"/>
        </w:rPr>
        <w:t xml:space="preserve"> and </w:t>
      </w:r>
      <w:r w:rsidR="00FB7271">
        <w:rPr>
          <w:color w:val="000000" w:themeColor="text1"/>
        </w:rPr>
        <w:t>Y</w:t>
      </w:r>
      <w:r>
        <w:rPr>
          <w:color w:val="000000" w:themeColor="text1"/>
        </w:rPr>
        <w:t xml:space="preserve">ear </w:t>
      </w:r>
      <w:r w:rsidR="00FB7271">
        <w:rPr>
          <w:color w:val="000000" w:themeColor="text1"/>
        </w:rPr>
        <w:t>T</w:t>
      </w:r>
      <w:r>
        <w:rPr>
          <w:color w:val="000000" w:themeColor="text1"/>
        </w:rPr>
        <w:t xml:space="preserve">hree funding contingent on successful completion of </w:t>
      </w:r>
      <w:r w:rsidR="00FB7271">
        <w:rPr>
          <w:color w:val="000000" w:themeColor="text1"/>
        </w:rPr>
        <w:t>Y</w:t>
      </w:r>
      <w:r>
        <w:rPr>
          <w:color w:val="000000" w:themeColor="text1"/>
        </w:rPr>
        <w:t xml:space="preserve">ear </w:t>
      </w:r>
      <w:r w:rsidR="00FB7271">
        <w:rPr>
          <w:color w:val="000000" w:themeColor="text1"/>
        </w:rPr>
        <w:t>T</w:t>
      </w:r>
      <w:r>
        <w:rPr>
          <w:color w:val="000000" w:themeColor="text1"/>
        </w:rPr>
        <w:t>wo</w:t>
      </w:r>
      <w:r w:rsidRPr="00FB5885">
        <w:rPr>
          <w:color w:val="000000" w:themeColor="text1"/>
        </w:rPr>
        <w:t>; and</w:t>
      </w:r>
      <w:r w:rsidRPr="00FB5885">
        <w:rPr>
          <w:color w:val="000000" w:themeColor="text1"/>
          <w:spacing w:val="8"/>
        </w:rPr>
        <w:t xml:space="preserve"> </w:t>
      </w:r>
      <w:r w:rsidR="00132C87">
        <w:rPr>
          <w:color w:val="000000" w:themeColor="text1"/>
        </w:rPr>
        <w:t>2</w:t>
      </w:r>
      <w:r w:rsidRPr="00FB5885">
        <w:rPr>
          <w:color w:val="000000" w:themeColor="text1"/>
        </w:rPr>
        <w:t>)</w:t>
      </w:r>
      <w:r w:rsidRPr="00FB5885">
        <w:rPr>
          <w:color w:val="000000" w:themeColor="text1"/>
          <w:spacing w:val="1"/>
        </w:rPr>
        <w:t xml:space="preserve"> </w:t>
      </w:r>
      <w:r w:rsidRPr="00FB5885">
        <w:rPr>
          <w:color w:val="000000" w:themeColor="text1"/>
        </w:rPr>
        <w:t>authorize</w:t>
      </w:r>
      <w:r w:rsidRPr="00FB5885">
        <w:rPr>
          <w:color w:val="000000" w:themeColor="text1"/>
          <w:spacing w:val="3"/>
        </w:rPr>
        <w:t xml:space="preserve"> </w:t>
      </w:r>
      <w:r w:rsidRPr="00FB5885">
        <w:rPr>
          <w:color w:val="000000" w:themeColor="text1"/>
        </w:rPr>
        <w:t>the</w:t>
      </w:r>
      <w:r w:rsidRPr="00FB5885">
        <w:rPr>
          <w:color w:val="000000" w:themeColor="text1"/>
          <w:spacing w:val="4"/>
        </w:rPr>
        <w:t xml:space="preserve"> </w:t>
      </w:r>
      <w:r w:rsidRPr="00FB5885">
        <w:rPr>
          <w:color w:val="000000" w:themeColor="text1"/>
        </w:rPr>
        <w:t>City Manager</w:t>
      </w:r>
      <w:r w:rsidRPr="00FB5885">
        <w:rPr>
          <w:color w:val="000000" w:themeColor="text1"/>
          <w:spacing w:val="1"/>
        </w:rPr>
        <w:t xml:space="preserve"> </w:t>
      </w:r>
      <w:r w:rsidRPr="00FB5885">
        <w:rPr>
          <w:color w:val="000000" w:themeColor="text1"/>
          <w:spacing w:val="-1"/>
        </w:rPr>
        <w:t>or</w:t>
      </w:r>
      <w:r w:rsidRPr="00FB5885">
        <w:rPr>
          <w:color w:val="000000" w:themeColor="text1"/>
        </w:rPr>
        <w:t xml:space="preserve"> </w:t>
      </w:r>
      <w:r w:rsidRPr="00FB5885">
        <w:rPr>
          <w:color w:val="000000" w:themeColor="text1"/>
          <w:spacing w:val="-1"/>
        </w:rPr>
        <w:t>designee</w:t>
      </w:r>
      <w:r w:rsidRPr="00FB5885">
        <w:rPr>
          <w:color w:val="000000" w:themeColor="text1"/>
          <w:spacing w:val="-2"/>
        </w:rPr>
        <w:t xml:space="preserve"> </w:t>
      </w:r>
      <w:r w:rsidRPr="00FB5885">
        <w:rPr>
          <w:color w:val="000000" w:themeColor="text1"/>
          <w:spacing w:val="-1"/>
        </w:rPr>
        <w:t>to</w:t>
      </w:r>
      <w:r w:rsidRPr="00FB5885">
        <w:rPr>
          <w:color w:val="000000" w:themeColor="text1"/>
          <w:spacing w:val="-2"/>
        </w:rPr>
        <w:t xml:space="preserve"> </w:t>
      </w:r>
      <w:r w:rsidRPr="00FB5885">
        <w:rPr>
          <w:color w:val="000000" w:themeColor="text1"/>
        </w:rPr>
        <w:t>approve and</w:t>
      </w:r>
      <w:r w:rsidRPr="00FB5885">
        <w:rPr>
          <w:color w:val="000000" w:themeColor="text1"/>
          <w:spacing w:val="-2"/>
        </w:rPr>
        <w:t xml:space="preserve"> </w:t>
      </w:r>
      <w:r w:rsidRPr="00FB5885">
        <w:rPr>
          <w:color w:val="000000" w:themeColor="text1"/>
        </w:rPr>
        <w:t>execute</w:t>
      </w:r>
      <w:r w:rsidRPr="00FB5885">
        <w:rPr>
          <w:color w:val="000000" w:themeColor="text1"/>
          <w:spacing w:val="-1"/>
        </w:rPr>
        <w:t xml:space="preserve"> </w:t>
      </w:r>
      <w:r w:rsidRPr="00FB5885">
        <w:rPr>
          <w:color w:val="000000" w:themeColor="text1"/>
        </w:rPr>
        <w:t>the</w:t>
      </w:r>
      <w:r w:rsidRPr="00FB5885">
        <w:rPr>
          <w:color w:val="000000" w:themeColor="text1"/>
          <w:spacing w:val="-4"/>
        </w:rPr>
        <w:t xml:space="preserve"> </w:t>
      </w:r>
      <w:r w:rsidRPr="00FB5885">
        <w:rPr>
          <w:color w:val="000000" w:themeColor="text1"/>
        </w:rPr>
        <w:t>funding agreements</w:t>
      </w:r>
      <w:r w:rsidRPr="00FB5885">
        <w:rPr>
          <w:color w:val="000000" w:themeColor="text1"/>
          <w:spacing w:val="-2"/>
        </w:rPr>
        <w:t xml:space="preserve"> </w:t>
      </w:r>
      <w:r w:rsidRPr="00FB5885">
        <w:rPr>
          <w:color w:val="000000" w:themeColor="text1"/>
        </w:rPr>
        <w:t>and</w:t>
      </w:r>
      <w:r w:rsidRPr="00FB5885">
        <w:rPr>
          <w:color w:val="000000" w:themeColor="text1"/>
          <w:spacing w:val="-7"/>
        </w:rPr>
        <w:t xml:space="preserve"> </w:t>
      </w:r>
      <w:r w:rsidRPr="00FB5885">
        <w:rPr>
          <w:color w:val="000000" w:themeColor="text1"/>
        </w:rPr>
        <w:t>any</w:t>
      </w:r>
      <w:r w:rsidRPr="00FB5885">
        <w:rPr>
          <w:color w:val="000000" w:themeColor="text1"/>
          <w:spacing w:val="-22"/>
        </w:rPr>
        <w:t xml:space="preserve"> </w:t>
      </w:r>
      <w:r w:rsidRPr="00FB5885">
        <w:rPr>
          <w:color w:val="000000" w:themeColor="text1"/>
        </w:rPr>
        <w:t>amendments</w:t>
      </w:r>
      <w:r w:rsidRPr="00FB5885">
        <w:rPr>
          <w:color w:val="000000" w:themeColor="text1"/>
          <w:spacing w:val="-2"/>
        </w:rPr>
        <w:t xml:space="preserve"> </w:t>
      </w:r>
      <w:r w:rsidRPr="00FB5885">
        <w:rPr>
          <w:color w:val="000000" w:themeColor="text1"/>
        </w:rPr>
        <w:t xml:space="preserve">with </w:t>
      </w:r>
      <w:r w:rsidRPr="00FB5885">
        <w:rPr>
          <w:color w:val="000000" w:themeColor="text1"/>
          <w:spacing w:val="-64"/>
        </w:rPr>
        <w:t xml:space="preserve"> </w:t>
      </w:r>
      <w:r w:rsidRPr="00FB5885">
        <w:rPr>
          <w:color w:val="000000" w:themeColor="text1"/>
        </w:rPr>
        <w:t>CHOICE</w:t>
      </w:r>
      <w:r w:rsidRPr="00FB5885">
        <w:rPr>
          <w:color w:val="000000" w:themeColor="text1"/>
          <w:spacing w:val="-8"/>
        </w:rPr>
        <w:t xml:space="preserve"> </w:t>
      </w:r>
      <w:r w:rsidRPr="00FB5885">
        <w:rPr>
          <w:color w:val="000000" w:themeColor="text1"/>
        </w:rPr>
        <w:t>Cycle</w:t>
      </w:r>
      <w:r w:rsidRPr="00FB5885">
        <w:rPr>
          <w:color w:val="000000" w:themeColor="text1"/>
          <w:spacing w:val="-7"/>
        </w:rPr>
        <w:t xml:space="preserve"> </w:t>
      </w:r>
      <w:r w:rsidRPr="00FB5885">
        <w:rPr>
          <w:color w:val="000000" w:themeColor="text1"/>
        </w:rPr>
        <w:t>X</w:t>
      </w:r>
      <w:r>
        <w:rPr>
          <w:color w:val="000000" w:themeColor="text1"/>
        </w:rPr>
        <w:t>I</w:t>
      </w:r>
      <w:r w:rsidRPr="00FB5885">
        <w:rPr>
          <w:color w:val="000000" w:themeColor="text1"/>
        </w:rPr>
        <w:t>I</w:t>
      </w:r>
      <w:r w:rsidRPr="00FB5885">
        <w:rPr>
          <w:color w:val="000000" w:themeColor="text1"/>
          <w:spacing w:val="-9"/>
        </w:rPr>
        <w:t xml:space="preserve"> </w:t>
      </w:r>
      <w:r w:rsidRPr="00FB5885">
        <w:rPr>
          <w:color w:val="000000" w:themeColor="text1"/>
        </w:rPr>
        <w:t>approved</w:t>
      </w:r>
      <w:r w:rsidRPr="00FB5885">
        <w:rPr>
          <w:color w:val="000000" w:themeColor="text1"/>
          <w:spacing w:val="-5"/>
        </w:rPr>
        <w:t xml:space="preserve"> </w:t>
      </w:r>
      <w:r>
        <w:t>providers.</w:t>
      </w:r>
    </w:p>
    <w:bookmarkEnd w:id="0"/>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2E600D42" w14:textId="6CA40C00" w:rsidR="00E210BA" w:rsidRDefault="00E210BA" w:rsidP="00203157">
      <w:pPr>
        <w:pStyle w:val="BodyText"/>
        <w:spacing w:before="92" w:line="259" w:lineRule="auto"/>
        <w:ind w:right="168"/>
        <w:jc w:val="both"/>
      </w:pPr>
      <w:r>
        <w:t>Staff will present the funding recommendations from the Grant Review Team for the</w:t>
      </w:r>
      <w:r>
        <w:rPr>
          <w:spacing w:val="1"/>
        </w:rPr>
        <w:t xml:space="preserve"> </w:t>
      </w:r>
      <w:r w:rsidRPr="00790DB1">
        <w:t>Measure H (202</w:t>
      </w:r>
      <w:r w:rsidR="00A74A58">
        <w:t>2</w:t>
      </w:r>
      <w:r w:rsidRPr="00790DB1">
        <w:t>)</w:t>
      </w:r>
      <w:r>
        <w:t xml:space="preserve"> CHOICE Cycle </w:t>
      </w:r>
      <w:r w:rsidRPr="00FB5885">
        <w:rPr>
          <w:color w:val="000000" w:themeColor="text1"/>
        </w:rPr>
        <w:t>XI</w:t>
      </w:r>
      <w:r>
        <w:rPr>
          <w:color w:val="000000" w:themeColor="text1"/>
        </w:rPr>
        <w:t>I</w:t>
      </w:r>
      <w:r w:rsidRPr="00FB5885">
        <w:rPr>
          <w:color w:val="000000" w:themeColor="text1"/>
        </w:rPr>
        <w:t xml:space="preserve"> Grant </w:t>
      </w:r>
      <w:r>
        <w:t>Program. This item fulfills Council Goal,</w:t>
      </w:r>
      <w:r>
        <w:rPr>
          <w:spacing w:val="1"/>
        </w:rPr>
        <w:t xml:space="preserve"> </w:t>
      </w:r>
      <w:r>
        <w:t>“Provide for community safety, valued City services, and open government</w:t>
      </w:r>
      <w:r w:rsidR="00203157">
        <w:t>,” by leading, mobilizing, and aligning community resources to create safe and healthy environments where all youth are empowered to reach their full potential and all community members thrive.</w:t>
      </w:r>
      <w:r>
        <w:rPr>
          <w:spacing w:val="1"/>
        </w:rPr>
        <w:t xml:space="preserve"> </w:t>
      </w:r>
      <w:r>
        <w:t>The Santa Rosa Violence</w:t>
      </w:r>
      <w:r>
        <w:rPr>
          <w:spacing w:val="1"/>
        </w:rPr>
        <w:t xml:space="preserve"> </w:t>
      </w:r>
      <w:r>
        <w:t>Prevention Partnership invests in and partners with local non-profits and organizations,</w:t>
      </w:r>
      <w:r>
        <w:rPr>
          <w:spacing w:val="1"/>
        </w:rPr>
        <w:t xml:space="preserve"> </w:t>
      </w:r>
      <w:r>
        <w:t>with an emphasis on workforce development,</w:t>
      </w:r>
      <w:r w:rsidR="00FE1941">
        <w:t xml:space="preserve"> </w:t>
      </w:r>
      <w:r>
        <w:t>diversion</w:t>
      </w:r>
      <w:r w:rsidR="00FE1941">
        <w:t xml:space="preserve"> and re-entry</w:t>
      </w:r>
      <w:r>
        <w:t>, street outreach, whole family support, and pro-social activities, in addition to a comprehensive array of social services and collaborative</w:t>
      </w:r>
      <w:r>
        <w:rPr>
          <w:spacing w:val="-1"/>
        </w:rPr>
        <w:t xml:space="preserve"> </w:t>
      </w:r>
      <w:r>
        <w:t>opportunities</w:t>
      </w:r>
      <w:r>
        <w:rPr>
          <w:spacing w:val="-1"/>
        </w:rPr>
        <w:t xml:space="preserve"> </w:t>
      </w:r>
      <w:r>
        <w:t>to</w:t>
      </w:r>
      <w:r>
        <w:rPr>
          <w:spacing w:val="-1"/>
        </w:rPr>
        <w:t xml:space="preserve"> </w:t>
      </w:r>
      <w:r>
        <w:t>support</w:t>
      </w:r>
      <w:r>
        <w:rPr>
          <w:spacing w:val="4"/>
        </w:rPr>
        <w:t xml:space="preserve"> </w:t>
      </w:r>
      <w:r>
        <w:t>high-need</w:t>
      </w:r>
      <w:r>
        <w:rPr>
          <w:spacing w:val="1"/>
        </w:rPr>
        <w:t xml:space="preserve"> </w:t>
      </w:r>
      <w:r>
        <w:t>areas</w:t>
      </w:r>
      <w:r>
        <w:rPr>
          <w:spacing w:val="-1"/>
        </w:rPr>
        <w:t xml:space="preserve"> </w:t>
      </w:r>
      <w:r>
        <w:t>of</w:t>
      </w:r>
      <w:r>
        <w:rPr>
          <w:spacing w:val="-1"/>
        </w:rPr>
        <w:t xml:space="preserve"> </w:t>
      </w:r>
      <w:r>
        <w:t>Santa</w:t>
      </w:r>
      <w:r>
        <w:rPr>
          <w:spacing w:val="-1"/>
        </w:rPr>
        <w:t xml:space="preserve"> </w:t>
      </w:r>
      <w:r>
        <w:t>Rosa.</w:t>
      </w:r>
    </w:p>
    <w:p w14:paraId="76986E72" w14:textId="77777777"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6AB180FF" w14:textId="7E44E0F4" w:rsidR="00203157" w:rsidRPr="008A1D91" w:rsidRDefault="00203157" w:rsidP="008A1D91">
      <w:pPr>
        <w:rPr>
          <w:rFonts w:ascii="Arial" w:hAnsi="Arial" w:cs="Arial"/>
          <w:sz w:val="24"/>
          <w:szCs w:val="24"/>
        </w:rPr>
        <w:sectPr w:rsidR="00203157" w:rsidRPr="008A1D91" w:rsidSect="00203157">
          <w:pgSz w:w="12240" w:h="15840"/>
          <w:pgMar w:top="1360" w:right="1300" w:bottom="280" w:left="1300" w:header="720" w:footer="720" w:gutter="0"/>
          <w:cols w:space="720"/>
        </w:sectPr>
      </w:pPr>
      <w:r w:rsidRPr="008A1D91">
        <w:rPr>
          <w:rFonts w:ascii="Arial" w:hAnsi="Arial" w:cs="Arial"/>
          <w:sz w:val="24"/>
          <w:szCs w:val="24"/>
        </w:rPr>
        <w:t>In November 2004, Santa Rosa voters passed a Transaction and Use tax measure (Measure O) to fund critical public safety improvements in Police, Fire and Violence Prevention/Intervention Services. Expected to generate an average of $7 million of revenue per year for 20 years, the sales tax provides Gang Prevention/Intervention</w:t>
      </w:r>
    </w:p>
    <w:p w14:paraId="0395B18C" w14:textId="382D16EF" w:rsidR="00203157" w:rsidRDefault="00203157" w:rsidP="008A1D91">
      <w:pPr>
        <w:spacing w:after="0"/>
        <w:rPr>
          <w:rFonts w:ascii="Arial" w:hAnsi="Arial" w:cs="Arial"/>
          <w:sz w:val="24"/>
          <w:szCs w:val="24"/>
        </w:rPr>
      </w:pPr>
      <w:r w:rsidRPr="008A1D91">
        <w:rPr>
          <w:rFonts w:ascii="Arial" w:hAnsi="Arial" w:cs="Arial"/>
          <w:sz w:val="24"/>
          <w:szCs w:val="24"/>
        </w:rPr>
        <w:lastRenderedPageBreak/>
        <w:t xml:space="preserve">Services with roughly </w:t>
      </w:r>
      <w:r w:rsidRPr="009E4075">
        <w:rPr>
          <w:rFonts w:ascii="Arial" w:hAnsi="Arial" w:cs="Arial"/>
          <w:sz w:val="24"/>
          <w:szCs w:val="24"/>
        </w:rPr>
        <w:t>$1.4 million per year</w:t>
      </w:r>
      <w:r w:rsidRPr="008A1D91">
        <w:rPr>
          <w:rFonts w:ascii="Arial" w:hAnsi="Arial" w:cs="Arial"/>
          <w:sz w:val="24"/>
          <w:szCs w:val="24"/>
        </w:rPr>
        <w:t xml:space="preserve"> to fund crucial youth development program</w:t>
      </w:r>
      <w:r w:rsidR="00F728C2">
        <w:rPr>
          <w:rFonts w:ascii="Arial" w:hAnsi="Arial" w:cs="Arial"/>
          <w:sz w:val="24"/>
          <w:szCs w:val="24"/>
        </w:rPr>
        <w:t>s</w:t>
      </w:r>
      <w:r w:rsidRPr="008A1D91">
        <w:rPr>
          <w:rFonts w:ascii="Arial" w:hAnsi="Arial" w:cs="Arial"/>
          <w:sz w:val="24"/>
          <w:szCs w:val="24"/>
        </w:rPr>
        <w:t xml:space="preserve"> and other activities designed to address the community’s youth and gang violence prevention and intervention needs. The share of Measure O (2004) dedicated for Gang Prevention/Intervention Services is allocated between Recreation’s Neighborhood Services Division and the Violence Prevention Partnership (The Partnership), formerly the Mayor’s Gang Prevention Task Force. In 2022, with the expiration of Measure O just two-years away, Santa Rosa voters approved Measure H, extending the quarter-cent Transaction and Use Tax for another 20 years. Now known as the Public Safety and Prevention Tax</w:t>
      </w:r>
      <w:r w:rsidR="008A1D91" w:rsidRPr="008A1D91">
        <w:rPr>
          <w:rFonts w:ascii="Arial" w:hAnsi="Arial" w:cs="Arial"/>
          <w:sz w:val="24"/>
          <w:szCs w:val="24"/>
        </w:rPr>
        <w:t xml:space="preserve"> (PS</w:t>
      </w:r>
      <w:r w:rsidR="003501F3">
        <w:rPr>
          <w:rFonts w:ascii="Arial" w:hAnsi="Arial" w:cs="Arial"/>
          <w:sz w:val="24"/>
          <w:szCs w:val="24"/>
        </w:rPr>
        <w:t>AP</w:t>
      </w:r>
      <w:r w:rsidR="008A1D91" w:rsidRPr="008A1D91">
        <w:rPr>
          <w:rFonts w:ascii="Arial" w:hAnsi="Arial" w:cs="Arial"/>
          <w:sz w:val="24"/>
          <w:szCs w:val="24"/>
        </w:rPr>
        <w:t>)</w:t>
      </w:r>
      <w:r w:rsidRPr="008A1D91">
        <w:rPr>
          <w:rFonts w:ascii="Arial" w:hAnsi="Arial" w:cs="Arial"/>
          <w:sz w:val="24"/>
          <w:szCs w:val="24"/>
        </w:rPr>
        <w:t>, the sales tax provides an estimated $10 million in revenue each year, providing critical funding for public safety services.</w:t>
      </w:r>
    </w:p>
    <w:p w14:paraId="2F22D470" w14:textId="77777777" w:rsidR="008A1D91" w:rsidRPr="008A1D91" w:rsidRDefault="008A1D91" w:rsidP="008A1D91">
      <w:pPr>
        <w:spacing w:after="0"/>
        <w:rPr>
          <w:rFonts w:ascii="Arial" w:hAnsi="Arial" w:cs="Arial"/>
          <w:sz w:val="24"/>
          <w:szCs w:val="24"/>
        </w:rPr>
      </w:pPr>
    </w:p>
    <w:p w14:paraId="515E56B2" w14:textId="44EEE2BA" w:rsidR="00203157" w:rsidRDefault="001475EE" w:rsidP="008A1D91">
      <w:pPr>
        <w:spacing w:after="0"/>
        <w:rPr>
          <w:rFonts w:ascii="Arial" w:hAnsi="Arial" w:cs="Arial"/>
          <w:sz w:val="24"/>
          <w:szCs w:val="24"/>
        </w:rPr>
      </w:pPr>
      <w:r w:rsidRPr="008A1D91">
        <w:rPr>
          <w:rFonts w:ascii="Arial" w:hAnsi="Arial" w:cs="Arial"/>
          <w:sz w:val="24"/>
          <w:szCs w:val="24"/>
        </w:rPr>
        <w:t>The P</w:t>
      </w:r>
      <w:r w:rsidR="003501F3">
        <w:rPr>
          <w:rFonts w:ascii="Arial" w:hAnsi="Arial" w:cs="Arial"/>
          <w:sz w:val="24"/>
          <w:szCs w:val="24"/>
        </w:rPr>
        <w:t xml:space="preserve">SAP </w:t>
      </w:r>
      <w:r w:rsidRPr="008A1D91">
        <w:rPr>
          <w:rFonts w:ascii="Arial" w:hAnsi="Arial" w:cs="Arial"/>
          <w:sz w:val="24"/>
          <w:szCs w:val="24"/>
        </w:rPr>
        <w:t>stipulates that grant funding shall be provided to organizations for youth and parenting programs which focus on gang and anti-violence education, prevention and intervention, community safety, and a comprehensive array of social services in high need neighborhoods.</w:t>
      </w:r>
      <w:r>
        <w:rPr>
          <w:rFonts w:ascii="Arial" w:hAnsi="Arial" w:cs="Arial"/>
          <w:sz w:val="24"/>
          <w:szCs w:val="24"/>
        </w:rPr>
        <w:t xml:space="preserve"> </w:t>
      </w:r>
      <w:r w:rsidR="00203157" w:rsidRPr="008A1D91">
        <w:rPr>
          <w:rFonts w:ascii="Arial" w:hAnsi="Arial" w:cs="Arial"/>
          <w:sz w:val="24"/>
          <w:szCs w:val="24"/>
        </w:rPr>
        <w:t xml:space="preserve">The Community Helping Our Indispensable Children Excel (CHOICE) Grant Program was established in 2006 and the first Request for Qualifications (RFQ) process </w:t>
      </w:r>
      <w:r w:rsidR="008A1D91" w:rsidRPr="008A1D91">
        <w:rPr>
          <w:rFonts w:ascii="Arial" w:hAnsi="Arial" w:cs="Arial"/>
          <w:sz w:val="24"/>
          <w:szCs w:val="24"/>
        </w:rPr>
        <w:t xml:space="preserve">was initiated </w:t>
      </w:r>
      <w:r w:rsidR="00203157" w:rsidRPr="008A1D91">
        <w:rPr>
          <w:rFonts w:ascii="Arial" w:hAnsi="Arial" w:cs="Arial"/>
          <w:sz w:val="24"/>
          <w:szCs w:val="24"/>
        </w:rPr>
        <w:t>for organizations and schools to fulfill th</w:t>
      </w:r>
      <w:r>
        <w:rPr>
          <w:rFonts w:ascii="Arial" w:hAnsi="Arial" w:cs="Arial"/>
          <w:sz w:val="24"/>
          <w:szCs w:val="24"/>
        </w:rPr>
        <w:t xml:space="preserve">e sales tax </w:t>
      </w:r>
      <w:r w:rsidR="008A1D91" w:rsidRPr="008A1D91">
        <w:rPr>
          <w:rFonts w:ascii="Arial" w:hAnsi="Arial" w:cs="Arial"/>
          <w:sz w:val="24"/>
          <w:szCs w:val="24"/>
        </w:rPr>
        <w:t>requirement</w:t>
      </w:r>
      <w:r w:rsidR="00203157" w:rsidRPr="008A1D91">
        <w:rPr>
          <w:rFonts w:ascii="Arial" w:hAnsi="Arial" w:cs="Arial"/>
          <w:sz w:val="24"/>
          <w:szCs w:val="24"/>
        </w:rPr>
        <w:t xml:space="preserve">. </w:t>
      </w:r>
    </w:p>
    <w:p w14:paraId="1F9910C2" w14:textId="77777777" w:rsidR="008A1D91" w:rsidRPr="008A1D91" w:rsidRDefault="008A1D91" w:rsidP="008A1D91">
      <w:pPr>
        <w:spacing w:after="0"/>
        <w:rPr>
          <w:rFonts w:ascii="Arial" w:hAnsi="Arial" w:cs="Arial"/>
          <w:sz w:val="24"/>
          <w:szCs w:val="24"/>
        </w:rPr>
      </w:pPr>
    </w:p>
    <w:p w14:paraId="10E9294C" w14:textId="2F92519B" w:rsidR="00203157" w:rsidRDefault="00203157" w:rsidP="008A1D91">
      <w:pPr>
        <w:spacing w:after="0"/>
        <w:rPr>
          <w:rFonts w:ascii="Arial" w:hAnsi="Arial" w:cs="Arial"/>
          <w:sz w:val="24"/>
          <w:szCs w:val="24"/>
        </w:rPr>
      </w:pPr>
      <w:r w:rsidRPr="008A1D91">
        <w:rPr>
          <w:rFonts w:ascii="Arial" w:hAnsi="Arial" w:cs="Arial"/>
          <w:sz w:val="24"/>
          <w:szCs w:val="24"/>
        </w:rPr>
        <w:t xml:space="preserve">From January through May 2023, The Partnership undertook its fourth strategic planning process to revisit its </w:t>
      </w:r>
      <w:r w:rsidR="009E4075">
        <w:rPr>
          <w:rFonts w:ascii="Arial" w:hAnsi="Arial" w:cs="Arial"/>
          <w:sz w:val="24"/>
          <w:szCs w:val="24"/>
        </w:rPr>
        <w:t>m</w:t>
      </w:r>
      <w:r w:rsidRPr="008A1D91">
        <w:rPr>
          <w:rFonts w:ascii="Arial" w:hAnsi="Arial" w:cs="Arial"/>
          <w:sz w:val="24"/>
          <w:szCs w:val="24"/>
        </w:rPr>
        <w:t xml:space="preserve">ission, </w:t>
      </w:r>
      <w:r w:rsidR="009E4075">
        <w:rPr>
          <w:rFonts w:ascii="Arial" w:hAnsi="Arial" w:cs="Arial"/>
          <w:sz w:val="24"/>
          <w:szCs w:val="24"/>
        </w:rPr>
        <w:t>v</w:t>
      </w:r>
      <w:r w:rsidRPr="008A1D91">
        <w:rPr>
          <w:rFonts w:ascii="Arial" w:hAnsi="Arial" w:cs="Arial"/>
          <w:sz w:val="24"/>
          <w:szCs w:val="24"/>
        </w:rPr>
        <w:t xml:space="preserve">ision, </w:t>
      </w:r>
      <w:r w:rsidR="009E4075">
        <w:rPr>
          <w:rFonts w:ascii="Arial" w:hAnsi="Arial" w:cs="Arial"/>
          <w:sz w:val="24"/>
          <w:szCs w:val="24"/>
        </w:rPr>
        <w:t>values</w:t>
      </w:r>
      <w:r w:rsidR="00FE1941">
        <w:rPr>
          <w:rFonts w:ascii="Arial" w:hAnsi="Arial" w:cs="Arial"/>
          <w:sz w:val="24"/>
          <w:szCs w:val="24"/>
        </w:rPr>
        <w:t>,</w:t>
      </w:r>
      <w:r w:rsidR="009E4075">
        <w:rPr>
          <w:rFonts w:ascii="Arial" w:hAnsi="Arial" w:cs="Arial"/>
          <w:sz w:val="24"/>
          <w:szCs w:val="24"/>
        </w:rPr>
        <w:t xml:space="preserve"> and strategies to identify areas for improvement and change for the period of 2023-2028. </w:t>
      </w:r>
      <w:r w:rsidR="00E068E3">
        <w:rPr>
          <w:rFonts w:ascii="Arial" w:hAnsi="Arial" w:cs="Arial"/>
          <w:sz w:val="24"/>
          <w:szCs w:val="24"/>
        </w:rPr>
        <w:t xml:space="preserve">This strategic planning process included data collection and analysis through surveys, one-on-one interviews, focus groups, and workshops with community members and partners, complemented by extensive research of evidence-informed practices and programming, with an emphasis on evidence-informed practices. </w:t>
      </w:r>
      <w:r w:rsidR="009E4075">
        <w:rPr>
          <w:rFonts w:ascii="Arial" w:hAnsi="Arial" w:cs="Arial"/>
          <w:sz w:val="24"/>
          <w:szCs w:val="24"/>
        </w:rPr>
        <w:t xml:space="preserve">This work culminated in a final community meeting on June 27, 2023 where The Partnership presented the draft strategic plan to attendees and received feedback on the proposed strategic focus areas. At this meeting, community members were provided with the opportunity to prioritize potential program areas for future funding. </w:t>
      </w:r>
      <w:r w:rsidR="00E068E3">
        <w:rPr>
          <w:rFonts w:ascii="Arial" w:hAnsi="Arial" w:cs="Arial"/>
          <w:sz w:val="24"/>
          <w:szCs w:val="24"/>
        </w:rPr>
        <w:t>The final plan was approved by the Policy Team on July 19, 2023 and Partnership staff utilized the plan’s strategic focus areas to develop the CHOICE Cycle XII Grant Program.</w:t>
      </w:r>
    </w:p>
    <w:p w14:paraId="0C758ED2" w14:textId="77777777" w:rsidR="009E4075" w:rsidRDefault="009E4075" w:rsidP="008A1D91">
      <w:pPr>
        <w:spacing w:after="0"/>
        <w:rPr>
          <w:rFonts w:ascii="Arial" w:hAnsi="Arial" w:cs="Arial"/>
          <w:sz w:val="24"/>
          <w:szCs w:val="24"/>
        </w:rPr>
      </w:pPr>
    </w:p>
    <w:p w14:paraId="72B7AAA6" w14:textId="0FFE56BC" w:rsidR="00DA2DCB" w:rsidRDefault="00DA2DCB" w:rsidP="00DA2DCB">
      <w:pPr>
        <w:spacing w:after="0"/>
        <w:rPr>
          <w:rFonts w:ascii="Arial" w:hAnsi="Arial" w:cs="Arial"/>
          <w:sz w:val="24"/>
          <w:szCs w:val="24"/>
        </w:rPr>
      </w:pPr>
      <w:r>
        <w:rPr>
          <w:rFonts w:ascii="Arial" w:hAnsi="Arial" w:cs="Arial"/>
          <w:sz w:val="24"/>
          <w:szCs w:val="24"/>
        </w:rPr>
        <w:t>In alignment with the 2023-2028 Strategic Plan, the City of Santa Rosa</w:t>
      </w:r>
      <w:r w:rsidR="000010AC">
        <w:rPr>
          <w:rFonts w:ascii="Arial" w:hAnsi="Arial" w:cs="Arial"/>
          <w:sz w:val="24"/>
          <w:szCs w:val="24"/>
        </w:rPr>
        <w:t xml:space="preserve"> (City)</w:t>
      </w:r>
      <w:r>
        <w:rPr>
          <w:rFonts w:ascii="Arial" w:hAnsi="Arial" w:cs="Arial"/>
          <w:sz w:val="24"/>
          <w:szCs w:val="24"/>
        </w:rPr>
        <w:t xml:space="preserve"> released the CHOICE Cycle XII Request for Qualifications (RFQ) on April 4, 2024. The purpose of the RFQ was to identify qualified community-based organizations to provide youth and gang violence prevention and intervention services in five categories:</w:t>
      </w:r>
    </w:p>
    <w:p w14:paraId="0B1A861D" w14:textId="77777777" w:rsidR="00DA2DCB" w:rsidRDefault="00DA2DCB" w:rsidP="00DA2DCB">
      <w:pPr>
        <w:spacing w:after="0"/>
        <w:rPr>
          <w:rFonts w:ascii="Arial" w:hAnsi="Arial" w:cs="Arial"/>
          <w:sz w:val="24"/>
          <w:szCs w:val="24"/>
        </w:rPr>
      </w:pPr>
    </w:p>
    <w:p w14:paraId="1397B7EA" w14:textId="77777777" w:rsidR="00DA2DCB" w:rsidRDefault="00DA2DCB" w:rsidP="00DA2DCB">
      <w:pPr>
        <w:pStyle w:val="ListParagraph"/>
        <w:numPr>
          <w:ilvl w:val="0"/>
          <w:numId w:val="4"/>
        </w:numPr>
        <w:spacing w:after="0"/>
        <w:rPr>
          <w:rFonts w:ascii="Arial" w:hAnsi="Arial" w:cs="Arial"/>
          <w:sz w:val="24"/>
          <w:szCs w:val="24"/>
        </w:rPr>
      </w:pPr>
      <w:r>
        <w:rPr>
          <w:rFonts w:ascii="Arial" w:hAnsi="Arial" w:cs="Arial"/>
          <w:sz w:val="24"/>
          <w:szCs w:val="24"/>
        </w:rPr>
        <w:t>Workforce Development</w:t>
      </w:r>
    </w:p>
    <w:p w14:paraId="3E775A62" w14:textId="77777777" w:rsidR="00DA2DCB" w:rsidRDefault="00DA2DCB" w:rsidP="00DA2DCB">
      <w:pPr>
        <w:pStyle w:val="ListParagraph"/>
        <w:numPr>
          <w:ilvl w:val="0"/>
          <w:numId w:val="4"/>
        </w:numPr>
        <w:spacing w:after="0"/>
        <w:rPr>
          <w:rFonts w:ascii="Arial" w:hAnsi="Arial" w:cs="Arial"/>
          <w:sz w:val="24"/>
          <w:szCs w:val="24"/>
        </w:rPr>
      </w:pPr>
      <w:r>
        <w:rPr>
          <w:rFonts w:ascii="Arial" w:hAnsi="Arial" w:cs="Arial"/>
          <w:sz w:val="24"/>
          <w:szCs w:val="24"/>
        </w:rPr>
        <w:t>Re-Entry and Diversion</w:t>
      </w:r>
    </w:p>
    <w:p w14:paraId="03D33B4B" w14:textId="77777777" w:rsidR="00DA2DCB" w:rsidRDefault="00DA2DCB" w:rsidP="00DA2DCB">
      <w:pPr>
        <w:pStyle w:val="ListParagraph"/>
        <w:numPr>
          <w:ilvl w:val="0"/>
          <w:numId w:val="4"/>
        </w:numPr>
        <w:spacing w:after="0"/>
        <w:rPr>
          <w:rFonts w:ascii="Arial" w:hAnsi="Arial" w:cs="Arial"/>
          <w:sz w:val="24"/>
          <w:szCs w:val="24"/>
        </w:rPr>
      </w:pPr>
      <w:r>
        <w:rPr>
          <w:rFonts w:ascii="Arial" w:hAnsi="Arial" w:cs="Arial"/>
          <w:sz w:val="24"/>
          <w:szCs w:val="24"/>
        </w:rPr>
        <w:t>Street Outreach and Intervention</w:t>
      </w:r>
    </w:p>
    <w:p w14:paraId="59966FFB" w14:textId="77777777" w:rsidR="00DA2DCB" w:rsidRDefault="00DA2DCB" w:rsidP="00DA2DCB">
      <w:pPr>
        <w:pStyle w:val="ListParagraph"/>
        <w:numPr>
          <w:ilvl w:val="0"/>
          <w:numId w:val="4"/>
        </w:numPr>
        <w:spacing w:after="0"/>
        <w:rPr>
          <w:rFonts w:ascii="Arial" w:hAnsi="Arial" w:cs="Arial"/>
          <w:sz w:val="24"/>
          <w:szCs w:val="24"/>
        </w:rPr>
      </w:pPr>
      <w:r>
        <w:rPr>
          <w:rFonts w:ascii="Arial" w:hAnsi="Arial" w:cs="Arial"/>
          <w:sz w:val="24"/>
          <w:szCs w:val="24"/>
        </w:rPr>
        <w:t>Whole Family Support</w:t>
      </w:r>
    </w:p>
    <w:p w14:paraId="7B52D1D0" w14:textId="77777777" w:rsidR="00DA2DCB" w:rsidRDefault="00DA2DCB" w:rsidP="00DA2DCB">
      <w:pPr>
        <w:pStyle w:val="ListParagraph"/>
        <w:numPr>
          <w:ilvl w:val="0"/>
          <w:numId w:val="4"/>
        </w:numPr>
        <w:spacing w:after="0"/>
        <w:rPr>
          <w:rFonts w:ascii="Arial" w:hAnsi="Arial" w:cs="Arial"/>
          <w:sz w:val="24"/>
          <w:szCs w:val="24"/>
        </w:rPr>
      </w:pPr>
      <w:r>
        <w:rPr>
          <w:rFonts w:ascii="Arial" w:hAnsi="Arial" w:cs="Arial"/>
          <w:sz w:val="24"/>
          <w:szCs w:val="24"/>
        </w:rPr>
        <w:lastRenderedPageBreak/>
        <w:t xml:space="preserve">Pro-Social Activities </w:t>
      </w:r>
    </w:p>
    <w:p w14:paraId="33480C67" w14:textId="77777777" w:rsidR="00DA2DCB" w:rsidRDefault="00DA2DCB" w:rsidP="00DA2DCB">
      <w:pPr>
        <w:spacing w:after="0"/>
        <w:rPr>
          <w:rFonts w:ascii="Arial" w:hAnsi="Arial" w:cs="Arial"/>
          <w:sz w:val="24"/>
          <w:szCs w:val="24"/>
        </w:rPr>
      </w:pPr>
    </w:p>
    <w:p w14:paraId="6E109E5C" w14:textId="3F0185F2" w:rsidR="00DA2DCB" w:rsidRPr="009E4075" w:rsidRDefault="00DA2DCB" w:rsidP="00DA2DCB">
      <w:pPr>
        <w:spacing w:after="0"/>
        <w:rPr>
          <w:rFonts w:ascii="Arial" w:hAnsi="Arial" w:cs="Arial"/>
          <w:sz w:val="24"/>
          <w:szCs w:val="24"/>
        </w:rPr>
      </w:pPr>
      <w:r>
        <w:rPr>
          <w:rFonts w:ascii="Arial" w:hAnsi="Arial" w:cs="Arial"/>
          <w:sz w:val="24"/>
          <w:szCs w:val="24"/>
        </w:rPr>
        <w:t>All proposal</w:t>
      </w:r>
      <w:r w:rsidR="000010AC">
        <w:rPr>
          <w:rFonts w:ascii="Arial" w:hAnsi="Arial" w:cs="Arial"/>
          <w:sz w:val="24"/>
          <w:szCs w:val="24"/>
        </w:rPr>
        <w:t>s</w:t>
      </w:r>
      <w:r>
        <w:rPr>
          <w:rFonts w:ascii="Arial" w:hAnsi="Arial" w:cs="Arial"/>
          <w:sz w:val="24"/>
          <w:szCs w:val="24"/>
        </w:rPr>
        <w:t xml:space="preserve"> were required to contribute a 20% match (cash or up to 50% in-kind) of requested funding. This match requirement is intended to increase the sustainability of the funded programs by reducing the reliance on PS</w:t>
      </w:r>
      <w:r w:rsidR="003501F3">
        <w:rPr>
          <w:rFonts w:ascii="Arial" w:hAnsi="Arial" w:cs="Arial"/>
          <w:sz w:val="24"/>
          <w:szCs w:val="24"/>
        </w:rPr>
        <w:t>AP</w:t>
      </w:r>
      <w:r>
        <w:rPr>
          <w:rFonts w:ascii="Arial" w:hAnsi="Arial" w:cs="Arial"/>
          <w:sz w:val="24"/>
          <w:szCs w:val="24"/>
        </w:rPr>
        <w:t xml:space="preserve"> funds over time. In addition, all applications had to clearly identify where services would be implemented with the City’s Equity Priority Communities. </w:t>
      </w:r>
    </w:p>
    <w:p w14:paraId="3D514B04" w14:textId="77777777" w:rsidR="00DA2DCB" w:rsidRDefault="00DA2DCB" w:rsidP="008A1D91">
      <w:pPr>
        <w:spacing w:after="0"/>
        <w:rPr>
          <w:rFonts w:ascii="Arial" w:hAnsi="Arial" w:cs="Arial"/>
          <w:sz w:val="24"/>
          <w:szCs w:val="24"/>
        </w:rPr>
      </w:pPr>
    </w:p>
    <w:p w14:paraId="7FD7F9E6" w14:textId="4A3C1748" w:rsidR="00DA2DCB" w:rsidRDefault="00DA2DCB" w:rsidP="008A1D91">
      <w:pPr>
        <w:spacing w:after="0"/>
        <w:rPr>
          <w:rFonts w:ascii="Arial" w:hAnsi="Arial" w:cs="Arial"/>
          <w:sz w:val="24"/>
          <w:szCs w:val="24"/>
        </w:rPr>
      </w:pPr>
      <w:r>
        <w:rPr>
          <w:rFonts w:ascii="Arial" w:hAnsi="Arial" w:cs="Arial"/>
          <w:sz w:val="24"/>
          <w:szCs w:val="24"/>
        </w:rPr>
        <w:t>The CHOICE Cycle XII Grant Program will be a three-year cycle, starting January 1, 2025 and ending on December 31, 2027.</w:t>
      </w:r>
    </w:p>
    <w:p w14:paraId="351E2414" w14:textId="77777777" w:rsidR="008A1D91" w:rsidRDefault="008A1D91"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76986E7D" w14:textId="5FE09BFF" w:rsidR="00977B3E" w:rsidRDefault="008A1D91" w:rsidP="0033698E">
      <w:pPr>
        <w:spacing w:after="0" w:line="240" w:lineRule="auto"/>
        <w:rPr>
          <w:rFonts w:ascii="Arial" w:hAnsi="Arial" w:cs="Arial"/>
          <w:sz w:val="24"/>
          <w:szCs w:val="24"/>
        </w:rPr>
      </w:pPr>
      <w:r>
        <w:rPr>
          <w:rFonts w:ascii="Arial" w:hAnsi="Arial" w:cs="Arial"/>
          <w:sz w:val="24"/>
          <w:szCs w:val="24"/>
        </w:rPr>
        <w:t>Not applicable.</w:t>
      </w:r>
    </w:p>
    <w:p w14:paraId="76986E7E" w14:textId="77777777" w:rsidR="005E3EED" w:rsidRDefault="005E3EED"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Default="0033698E" w:rsidP="0033698E">
      <w:pPr>
        <w:spacing w:after="0" w:line="240" w:lineRule="auto"/>
        <w:rPr>
          <w:rFonts w:ascii="Arial" w:hAnsi="Arial" w:cs="Arial"/>
          <w:sz w:val="24"/>
          <w:szCs w:val="24"/>
        </w:rPr>
      </w:pPr>
    </w:p>
    <w:p w14:paraId="1077C207" w14:textId="54FF52DB" w:rsidR="00F55D5E" w:rsidRDefault="00F55D5E" w:rsidP="00F55D5E">
      <w:pPr>
        <w:spacing w:after="0"/>
        <w:rPr>
          <w:rFonts w:ascii="Arial" w:hAnsi="Arial" w:cs="Arial"/>
          <w:sz w:val="24"/>
          <w:szCs w:val="24"/>
        </w:rPr>
      </w:pPr>
      <w:r w:rsidRPr="00F55D5E">
        <w:rPr>
          <w:rFonts w:ascii="Arial" w:hAnsi="Arial" w:cs="Arial"/>
          <w:sz w:val="24"/>
          <w:szCs w:val="24"/>
        </w:rPr>
        <w:t>The City received 28 applications from 20 agencies in response to the CHOICE Cycle XII RFQ. Agencies submitted budgets for one year of funding, with requests totaling $3,902,543 per year, exceeding the available funding of $750,000 per year or $2,250,000 for the three-year funding cycle. Funding of Year</w:t>
      </w:r>
      <w:r>
        <w:rPr>
          <w:rFonts w:ascii="Arial" w:hAnsi="Arial" w:cs="Arial"/>
          <w:sz w:val="24"/>
          <w:szCs w:val="24"/>
        </w:rPr>
        <w:t xml:space="preserve"> </w:t>
      </w:r>
      <w:r w:rsidRPr="00F55D5E">
        <w:rPr>
          <w:rFonts w:ascii="Arial" w:hAnsi="Arial" w:cs="Arial"/>
          <w:sz w:val="24"/>
          <w:szCs w:val="24"/>
        </w:rPr>
        <w:t>Two</w:t>
      </w:r>
      <w:r>
        <w:rPr>
          <w:rFonts w:ascii="Arial" w:hAnsi="Arial" w:cs="Arial"/>
          <w:sz w:val="24"/>
          <w:szCs w:val="24"/>
        </w:rPr>
        <w:t xml:space="preserve"> programming</w:t>
      </w:r>
      <w:r w:rsidRPr="00F55D5E">
        <w:rPr>
          <w:rFonts w:ascii="Arial" w:hAnsi="Arial" w:cs="Arial"/>
          <w:sz w:val="24"/>
          <w:szCs w:val="24"/>
        </w:rPr>
        <w:t xml:space="preserve"> is contingent upon the successful completion of Year One and funding for Year Three</w:t>
      </w:r>
      <w:r>
        <w:rPr>
          <w:rFonts w:ascii="Arial" w:hAnsi="Arial" w:cs="Arial"/>
          <w:sz w:val="24"/>
          <w:szCs w:val="24"/>
        </w:rPr>
        <w:t xml:space="preserve"> programming</w:t>
      </w:r>
      <w:r w:rsidRPr="00F55D5E">
        <w:rPr>
          <w:rFonts w:ascii="Arial" w:hAnsi="Arial" w:cs="Arial"/>
          <w:sz w:val="24"/>
          <w:szCs w:val="24"/>
        </w:rPr>
        <w:t xml:space="preserve"> is contingent upon successful completion of Year Two, </w:t>
      </w:r>
      <w:r>
        <w:rPr>
          <w:rFonts w:ascii="Arial" w:hAnsi="Arial" w:cs="Arial"/>
          <w:sz w:val="24"/>
          <w:szCs w:val="24"/>
        </w:rPr>
        <w:t xml:space="preserve">as </w:t>
      </w:r>
      <w:r w:rsidRPr="00F55D5E">
        <w:rPr>
          <w:rFonts w:ascii="Arial" w:hAnsi="Arial" w:cs="Arial"/>
          <w:sz w:val="24"/>
          <w:szCs w:val="24"/>
        </w:rPr>
        <w:t>outlined in Exhibit B to the Resolution– Cycle XII Funding Agreement Template.</w:t>
      </w:r>
    </w:p>
    <w:p w14:paraId="7B17E339" w14:textId="77777777" w:rsidR="00F55D5E" w:rsidRPr="00F55D5E" w:rsidRDefault="00F55D5E" w:rsidP="00F55D5E">
      <w:pPr>
        <w:spacing w:after="0"/>
        <w:rPr>
          <w:rFonts w:ascii="Arial" w:hAnsi="Arial" w:cs="Arial"/>
          <w:sz w:val="24"/>
          <w:szCs w:val="24"/>
        </w:rPr>
      </w:pPr>
    </w:p>
    <w:p w14:paraId="5D5B43C2" w14:textId="77777777" w:rsidR="00F55D5E" w:rsidRPr="00F55D5E" w:rsidRDefault="00F55D5E" w:rsidP="00F55D5E">
      <w:pPr>
        <w:spacing w:after="0"/>
        <w:rPr>
          <w:rFonts w:ascii="Arial" w:hAnsi="Arial" w:cs="Arial"/>
          <w:sz w:val="24"/>
          <w:szCs w:val="24"/>
        </w:rPr>
      </w:pPr>
      <w:r w:rsidRPr="00F55D5E">
        <w:rPr>
          <w:rFonts w:ascii="Arial" w:hAnsi="Arial" w:cs="Arial"/>
          <w:sz w:val="24"/>
          <w:szCs w:val="24"/>
        </w:rPr>
        <w:t>Cycle XII Funding Recommendations were established on June 6, 2024, by a seven-member Grant Review Team, comprised of representatives from multiple sectors of the community.</w:t>
      </w:r>
    </w:p>
    <w:p w14:paraId="114352AE" w14:textId="77777777" w:rsidR="00F55D5E" w:rsidRPr="00F55D5E" w:rsidRDefault="00F55D5E" w:rsidP="00F55D5E">
      <w:pPr>
        <w:spacing w:after="0"/>
        <w:rPr>
          <w:rFonts w:ascii="Arial" w:hAnsi="Arial" w:cs="Arial"/>
          <w:sz w:val="24"/>
          <w:szCs w:val="24"/>
        </w:rPr>
      </w:pPr>
    </w:p>
    <w:p w14:paraId="75A2C7B1" w14:textId="77777777"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Sonoma County Juvenile Probation Office</w:t>
      </w:r>
    </w:p>
    <w:p w14:paraId="429DE6D8" w14:textId="77777777"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Sonoma County Public Defender’s Office</w:t>
      </w:r>
    </w:p>
    <w:p w14:paraId="46881C80" w14:textId="77777777"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 xml:space="preserve">Sonoma County Office of Education </w:t>
      </w:r>
    </w:p>
    <w:p w14:paraId="1E3F42C2" w14:textId="77777777"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City of Santa Rosa Police Department</w:t>
      </w:r>
    </w:p>
    <w:p w14:paraId="14141356" w14:textId="1B996A35"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City of Santa Rosa Commu</w:t>
      </w:r>
      <w:r w:rsidR="00FE1941">
        <w:rPr>
          <w:rFonts w:ascii="Arial" w:hAnsi="Arial" w:cs="Arial"/>
          <w:sz w:val="24"/>
          <w:szCs w:val="24"/>
        </w:rPr>
        <w:t>nications and Intergovernmental Relations Office – Community Engagement</w:t>
      </w:r>
    </w:p>
    <w:p w14:paraId="3657BB2B" w14:textId="3379FB94" w:rsid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Community Member</w:t>
      </w:r>
      <w:r>
        <w:rPr>
          <w:rFonts w:ascii="Arial" w:hAnsi="Arial" w:cs="Arial"/>
          <w:sz w:val="24"/>
          <w:szCs w:val="24"/>
        </w:rPr>
        <w:t xml:space="preserve"> Representative</w:t>
      </w:r>
    </w:p>
    <w:p w14:paraId="43482B49" w14:textId="43DAABBE" w:rsidR="00F55D5E" w:rsidRPr="00F55D5E" w:rsidRDefault="00F55D5E" w:rsidP="00F55D5E">
      <w:pPr>
        <w:pStyle w:val="ListParagraph"/>
        <w:numPr>
          <w:ilvl w:val="0"/>
          <w:numId w:val="6"/>
        </w:numPr>
        <w:spacing w:after="0"/>
        <w:rPr>
          <w:rFonts w:ascii="Arial" w:hAnsi="Arial" w:cs="Arial"/>
          <w:sz w:val="24"/>
          <w:szCs w:val="24"/>
        </w:rPr>
      </w:pPr>
      <w:r w:rsidRPr="00F55D5E">
        <w:rPr>
          <w:rFonts w:ascii="Arial" w:hAnsi="Arial" w:cs="Arial"/>
          <w:sz w:val="24"/>
          <w:szCs w:val="24"/>
        </w:rPr>
        <w:t xml:space="preserve">Youth </w:t>
      </w:r>
      <w:r>
        <w:rPr>
          <w:rFonts w:ascii="Arial" w:hAnsi="Arial" w:cs="Arial"/>
          <w:sz w:val="24"/>
          <w:szCs w:val="24"/>
        </w:rPr>
        <w:t>Representative</w:t>
      </w:r>
    </w:p>
    <w:p w14:paraId="42B176EC" w14:textId="77777777" w:rsidR="00F55D5E" w:rsidRPr="00F55D5E" w:rsidRDefault="00F55D5E" w:rsidP="00F55D5E">
      <w:pPr>
        <w:spacing w:after="0"/>
        <w:rPr>
          <w:rFonts w:ascii="Arial" w:hAnsi="Arial" w:cs="Arial"/>
          <w:sz w:val="24"/>
          <w:szCs w:val="24"/>
        </w:rPr>
      </w:pPr>
    </w:p>
    <w:p w14:paraId="2D2C08B0" w14:textId="54B67D68" w:rsidR="00F55D5E" w:rsidRPr="00F55D5E" w:rsidRDefault="00F55D5E" w:rsidP="00F55D5E">
      <w:pPr>
        <w:spacing w:after="0"/>
        <w:rPr>
          <w:rFonts w:ascii="Arial" w:hAnsi="Arial" w:cs="Arial"/>
          <w:sz w:val="24"/>
          <w:szCs w:val="24"/>
        </w:rPr>
      </w:pPr>
      <w:r w:rsidRPr="00F55D5E">
        <w:rPr>
          <w:rFonts w:ascii="Arial" w:hAnsi="Arial" w:cs="Arial"/>
          <w:sz w:val="24"/>
          <w:szCs w:val="24"/>
        </w:rPr>
        <w:t>Following the convening on June 6, 2024, the CHOICE Cycle XII Grant Review Team’s funding recommendations were presented and reviewed by the Violence Prevention Program Manager, Deputy Direct</w:t>
      </w:r>
      <w:r w:rsidR="00FE1941">
        <w:rPr>
          <w:rFonts w:ascii="Arial" w:hAnsi="Arial" w:cs="Arial"/>
          <w:sz w:val="24"/>
          <w:szCs w:val="24"/>
        </w:rPr>
        <w:t>or of Recreation</w:t>
      </w:r>
      <w:r w:rsidRPr="00F55D5E">
        <w:rPr>
          <w:rFonts w:ascii="Arial" w:hAnsi="Arial" w:cs="Arial"/>
          <w:sz w:val="24"/>
          <w:szCs w:val="24"/>
        </w:rPr>
        <w:t>,</w:t>
      </w:r>
      <w:r w:rsidR="00FE1941">
        <w:rPr>
          <w:rFonts w:ascii="Arial" w:hAnsi="Arial" w:cs="Arial"/>
          <w:sz w:val="24"/>
          <w:szCs w:val="24"/>
        </w:rPr>
        <w:t xml:space="preserve"> Director of</w:t>
      </w:r>
      <w:r w:rsidRPr="00F55D5E">
        <w:rPr>
          <w:rFonts w:ascii="Arial" w:hAnsi="Arial" w:cs="Arial"/>
          <w:sz w:val="24"/>
          <w:szCs w:val="24"/>
        </w:rPr>
        <w:t xml:space="preserve"> Recreation and Parks</w:t>
      </w:r>
      <w:r w:rsidR="00FE1941">
        <w:rPr>
          <w:rFonts w:ascii="Arial" w:hAnsi="Arial" w:cs="Arial"/>
          <w:sz w:val="24"/>
          <w:szCs w:val="24"/>
        </w:rPr>
        <w:t>,</w:t>
      </w:r>
      <w:r w:rsidRPr="00F55D5E">
        <w:rPr>
          <w:rFonts w:ascii="Arial" w:hAnsi="Arial" w:cs="Arial"/>
          <w:sz w:val="24"/>
          <w:szCs w:val="24"/>
        </w:rPr>
        <w:t xml:space="preserve"> and Assistant City Manager.</w:t>
      </w:r>
    </w:p>
    <w:p w14:paraId="0D561052" w14:textId="77777777" w:rsidR="00F55D5E" w:rsidRPr="00F55D5E" w:rsidRDefault="00F55D5E" w:rsidP="00F55D5E">
      <w:pPr>
        <w:spacing w:after="0"/>
        <w:rPr>
          <w:rFonts w:ascii="Arial" w:hAnsi="Arial" w:cs="Arial"/>
          <w:sz w:val="24"/>
          <w:szCs w:val="24"/>
        </w:rPr>
      </w:pPr>
    </w:p>
    <w:p w14:paraId="39BCDF19" w14:textId="77777777" w:rsidR="00F55D5E" w:rsidRPr="00F55D5E" w:rsidRDefault="00F55D5E" w:rsidP="00F55D5E">
      <w:pPr>
        <w:spacing w:after="0"/>
        <w:rPr>
          <w:rFonts w:ascii="Arial" w:hAnsi="Arial" w:cs="Arial"/>
          <w:sz w:val="24"/>
          <w:szCs w:val="24"/>
        </w:rPr>
      </w:pPr>
      <w:r w:rsidRPr="00F55D5E">
        <w:rPr>
          <w:rFonts w:ascii="Arial" w:hAnsi="Arial" w:cs="Arial"/>
          <w:sz w:val="24"/>
          <w:szCs w:val="24"/>
        </w:rPr>
        <w:lastRenderedPageBreak/>
        <w:t>Staff has participated in funding agreement negotiations with each organization recommended for funding by the CHOICE Cycle XII Grant Review Team. Attachment 2 outlines the organizations recommended for funding; the recommended amount of the funding agreement compared to the amount requested; and a brief description of the recommended services provided.</w:t>
      </w:r>
    </w:p>
    <w:p w14:paraId="1DC79C99" w14:textId="77777777" w:rsidR="00F55D5E" w:rsidRPr="00F55D5E" w:rsidRDefault="00F55D5E" w:rsidP="00F55D5E">
      <w:pPr>
        <w:spacing w:after="0"/>
        <w:rPr>
          <w:rFonts w:ascii="Arial" w:hAnsi="Arial" w:cs="Arial"/>
          <w:sz w:val="24"/>
          <w:szCs w:val="24"/>
        </w:rPr>
      </w:pPr>
    </w:p>
    <w:p w14:paraId="42D3A397" w14:textId="67E4561A" w:rsidR="00F55D5E" w:rsidRPr="00F55D5E" w:rsidRDefault="00F55D5E" w:rsidP="00F55D5E">
      <w:pPr>
        <w:spacing w:after="0"/>
        <w:rPr>
          <w:rFonts w:ascii="Arial" w:hAnsi="Arial" w:cs="Arial"/>
          <w:sz w:val="24"/>
          <w:szCs w:val="24"/>
        </w:rPr>
      </w:pPr>
      <w:r w:rsidRPr="00F55D5E">
        <w:rPr>
          <w:rFonts w:ascii="Arial" w:hAnsi="Arial" w:cs="Arial"/>
          <w:sz w:val="24"/>
          <w:szCs w:val="24"/>
        </w:rPr>
        <w:t>A contracted evaluation team, assisted by City staff, will thoroughly monitor and evaluate the quantitative and qualitative performance of funded organizations throughout the duration of the CHOICE Cycle XII funding agreements, with a contingency of Years Two and Three funding based upon available funds, satisfactory performance of scopes of work, completion of the required outcomes and measurements of each funding agreement, and subject to the discretion of the City Manager or Designee.</w:t>
      </w:r>
    </w:p>
    <w:p w14:paraId="76986E82" w14:textId="77777777" w:rsidR="005E3EED" w:rsidRPr="00F55D5E" w:rsidRDefault="005E3EED" w:rsidP="005E3EED">
      <w:pPr>
        <w:widowControl w:val="0"/>
        <w:spacing w:after="0" w:line="240" w:lineRule="auto"/>
        <w:rPr>
          <w:rFonts w:ascii="Arial" w:hAnsi="Arial" w:cs="Arial"/>
          <w:sz w:val="28"/>
          <w:szCs w:val="28"/>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6986E85" w14:textId="4704F34B" w:rsidR="005E3EED" w:rsidRDefault="00F55D5E" w:rsidP="005E3EED">
      <w:pPr>
        <w:widowControl w:val="0"/>
        <w:spacing w:after="0" w:line="240" w:lineRule="auto"/>
        <w:rPr>
          <w:rFonts w:ascii="Arial" w:hAnsi="Arial" w:cs="Arial"/>
          <w:sz w:val="24"/>
          <w:szCs w:val="24"/>
        </w:rPr>
      </w:pPr>
      <w:r>
        <w:rPr>
          <w:rFonts w:ascii="Arial" w:hAnsi="Arial" w:cs="Arial"/>
          <w:sz w:val="24"/>
          <w:szCs w:val="24"/>
        </w:rPr>
        <w:t>Approval of this action does not have a fiscal impact on the General Fund.</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9" w14:textId="10F597B9" w:rsidR="0071146C" w:rsidRDefault="00444599" w:rsidP="005E3EED">
      <w:pPr>
        <w:widowControl w:val="0"/>
        <w:spacing w:after="0" w:line="240" w:lineRule="auto"/>
        <w:rPr>
          <w:rFonts w:ascii="Arial" w:hAnsi="Arial" w:cs="Arial"/>
          <w:sz w:val="24"/>
          <w:szCs w:val="24"/>
        </w:rPr>
      </w:pPr>
      <w:r w:rsidRPr="00444599">
        <w:rPr>
          <w:rFonts w:ascii="Arial" w:hAnsi="Arial" w:cs="Arial"/>
          <w:sz w:val="24"/>
          <w:szCs w:val="24"/>
        </w:rPr>
        <w:t xml:space="preserve">The </w:t>
      </w:r>
      <w:r>
        <w:rPr>
          <w:rFonts w:ascii="Arial" w:hAnsi="Arial" w:cs="Arial"/>
          <w:sz w:val="24"/>
          <w:szCs w:val="24"/>
        </w:rPr>
        <w:t>action</w:t>
      </w:r>
      <w:r w:rsidRPr="00444599">
        <w:rPr>
          <w:rFonts w:ascii="Arial" w:hAnsi="Arial" w:cs="Arial"/>
          <w:sz w:val="24"/>
          <w:szCs w:val="24"/>
        </w:rPr>
        <w:t xml:space="preserve"> is exempt from the provisions of the California Environmental Quality Act (CEQA) under </w:t>
      </w:r>
      <w:r w:rsidR="003856B4">
        <w:rPr>
          <w:rFonts w:ascii="Arial" w:hAnsi="Arial" w:cs="Arial"/>
          <w:sz w:val="24"/>
          <w:szCs w:val="24"/>
        </w:rPr>
        <w:t>CEQA Guidelines S</w:t>
      </w:r>
      <w:r w:rsidRPr="00444599">
        <w:rPr>
          <w:rFonts w:ascii="Arial" w:hAnsi="Arial" w:cs="Arial"/>
          <w:sz w:val="24"/>
          <w:szCs w:val="24"/>
        </w:rPr>
        <w:t xml:space="preserve">ection 15061(b)(3) and 15378 in that there is no possibility that the implementation of this </w:t>
      </w:r>
      <w:r>
        <w:rPr>
          <w:rFonts w:ascii="Arial" w:hAnsi="Arial" w:cs="Arial"/>
          <w:sz w:val="24"/>
          <w:szCs w:val="24"/>
        </w:rPr>
        <w:t>action</w:t>
      </w:r>
      <w:r w:rsidRPr="00444599">
        <w:rPr>
          <w:rFonts w:ascii="Arial" w:hAnsi="Arial" w:cs="Arial"/>
          <w:sz w:val="24"/>
          <w:szCs w:val="24"/>
        </w:rPr>
        <w:t xml:space="preserve"> may have significant effects on the environment, and no further environmental review is required.</w:t>
      </w:r>
    </w:p>
    <w:p w14:paraId="76986E8A" w14:textId="77777777" w:rsidR="0071146C"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59C50773" w:rsidR="00350663" w:rsidRDefault="00AC02C7"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8E" w14:textId="77777777"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76986E91" w14:textId="633FE568" w:rsidR="00350663" w:rsidRDefault="009F230A"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92" w14:textId="77777777" w:rsidR="00350663" w:rsidRDefault="00350663" w:rsidP="00350663">
      <w:pPr>
        <w:widowControl w:val="0"/>
        <w:spacing w:after="0" w:line="240" w:lineRule="auto"/>
        <w:rPr>
          <w:rFonts w:ascii="Arial" w:hAnsi="Arial" w:cs="Arial"/>
          <w:sz w:val="24"/>
          <w:szCs w:val="24"/>
        </w:rPr>
      </w:pPr>
    </w:p>
    <w:p w14:paraId="76986E93" w14:textId="0C738D44" w:rsidR="00350663" w:rsidRDefault="00350663" w:rsidP="009034A8">
      <w:pPr>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350663">
      <w:pPr>
        <w:widowControl w:val="0"/>
        <w:spacing w:after="0" w:line="240" w:lineRule="auto"/>
        <w:rPr>
          <w:rFonts w:ascii="Arial" w:hAnsi="Arial" w:cs="Arial"/>
          <w:sz w:val="24"/>
          <w:szCs w:val="24"/>
          <w:u w:val="single"/>
        </w:rPr>
      </w:pPr>
    </w:p>
    <w:p w14:paraId="32485D51" w14:textId="3A390977" w:rsidR="00CC4677" w:rsidRPr="00CC4677" w:rsidRDefault="00CC4677" w:rsidP="00CC4677">
      <w:pPr>
        <w:pStyle w:val="ListParagraph"/>
        <w:widowControl w:val="0"/>
        <w:numPr>
          <w:ilvl w:val="1"/>
          <w:numId w:val="5"/>
        </w:numPr>
        <w:tabs>
          <w:tab w:val="left" w:pos="860"/>
          <w:tab w:val="left" w:pos="861"/>
        </w:tabs>
        <w:autoSpaceDE w:val="0"/>
        <w:autoSpaceDN w:val="0"/>
        <w:spacing w:after="0" w:line="293" w:lineRule="exact"/>
        <w:ind w:left="860" w:hanging="361"/>
        <w:contextualSpacing w:val="0"/>
        <w:rPr>
          <w:rFonts w:ascii="Arial" w:hAnsi="Arial" w:cs="Arial"/>
          <w:sz w:val="24"/>
        </w:rPr>
      </w:pPr>
      <w:r w:rsidRPr="00CC4677">
        <w:rPr>
          <w:rFonts w:ascii="Arial" w:hAnsi="Arial" w:cs="Arial"/>
          <w:sz w:val="24"/>
        </w:rPr>
        <w:t>Attachment</w:t>
      </w:r>
      <w:r w:rsidRPr="00CC4677">
        <w:rPr>
          <w:rFonts w:ascii="Arial" w:hAnsi="Arial" w:cs="Arial"/>
          <w:spacing w:val="-4"/>
          <w:sz w:val="24"/>
        </w:rPr>
        <w:t xml:space="preserve"> </w:t>
      </w:r>
      <w:r w:rsidRPr="00CC4677">
        <w:rPr>
          <w:rFonts w:ascii="Arial" w:hAnsi="Arial" w:cs="Arial"/>
          <w:sz w:val="24"/>
        </w:rPr>
        <w:t>1</w:t>
      </w:r>
      <w:r w:rsidRPr="00CC4677">
        <w:rPr>
          <w:rFonts w:ascii="Arial" w:hAnsi="Arial" w:cs="Arial"/>
          <w:spacing w:val="1"/>
          <w:sz w:val="24"/>
        </w:rPr>
        <w:t xml:space="preserve"> </w:t>
      </w:r>
      <w:r w:rsidRPr="00CC4677">
        <w:rPr>
          <w:rFonts w:ascii="Arial" w:hAnsi="Arial" w:cs="Arial"/>
          <w:sz w:val="24"/>
        </w:rPr>
        <w:t>–</w:t>
      </w:r>
      <w:r w:rsidRPr="00CC4677">
        <w:rPr>
          <w:rFonts w:ascii="Arial" w:hAnsi="Arial" w:cs="Arial"/>
          <w:spacing w:val="-2"/>
          <w:sz w:val="24"/>
        </w:rPr>
        <w:t xml:space="preserve"> </w:t>
      </w:r>
      <w:r w:rsidR="00501B47">
        <w:rPr>
          <w:rFonts w:ascii="Arial" w:hAnsi="Arial" w:cs="Arial"/>
          <w:spacing w:val="-2"/>
          <w:sz w:val="24"/>
        </w:rPr>
        <w:t xml:space="preserve">CHOICE </w:t>
      </w:r>
      <w:r w:rsidRPr="00CC4677">
        <w:rPr>
          <w:rFonts w:ascii="Arial" w:hAnsi="Arial" w:cs="Arial"/>
          <w:spacing w:val="-2"/>
          <w:sz w:val="24"/>
        </w:rPr>
        <w:t xml:space="preserve">Cycle XII </w:t>
      </w:r>
      <w:r w:rsidRPr="00CC4677">
        <w:rPr>
          <w:rFonts w:ascii="Arial" w:hAnsi="Arial" w:cs="Arial"/>
          <w:sz w:val="24"/>
        </w:rPr>
        <w:t>Grant</w:t>
      </w:r>
      <w:r w:rsidRPr="00CC4677">
        <w:rPr>
          <w:rFonts w:ascii="Arial" w:hAnsi="Arial" w:cs="Arial"/>
          <w:spacing w:val="-5"/>
          <w:sz w:val="24"/>
        </w:rPr>
        <w:t xml:space="preserve"> </w:t>
      </w:r>
      <w:r w:rsidRPr="00CC4677">
        <w:rPr>
          <w:rFonts w:ascii="Arial" w:hAnsi="Arial" w:cs="Arial"/>
          <w:sz w:val="24"/>
        </w:rPr>
        <w:t>Reviewer</w:t>
      </w:r>
      <w:r w:rsidRPr="00CC4677">
        <w:rPr>
          <w:rFonts w:ascii="Arial" w:hAnsi="Arial" w:cs="Arial"/>
          <w:spacing w:val="-1"/>
          <w:sz w:val="24"/>
        </w:rPr>
        <w:t xml:space="preserve"> </w:t>
      </w:r>
      <w:r w:rsidRPr="00CC4677">
        <w:rPr>
          <w:rFonts w:ascii="Arial" w:hAnsi="Arial" w:cs="Arial"/>
          <w:sz w:val="24"/>
        </w:rPr>
        <w:t>Rating</w:t>
      </w:r>
      <w:r w:rsidRPr="00CC4677">
        <w:rPr>
          <w:rFonts w:ascii="Arial" w:hAnsi="Arial" w:cs="Arial"/>
          <w:spacing w:val="-3"/>
          <w:sz w:val="24"/>
        </w:rPr>
        <w:t xml:space="preserve"> </w:t>
      </w:r>
      <w:r w:rsidRPr="00CC4677">
        <w:rPr>
          <w:rFonts w:ascii="Arial" w:hAnsi="Arial" w:cs="Arial"/>
          <w:sz w:val="24"/>
        </w:rPr>
        <w:t>Form</w:t>
      </w:r>
    </w:p>
    <w:p w14:paraId="1D30AFF0" w14:textId="3B51D14A" w:rsidR="00CC4677" w:rsidRPr="00CC4677" w:rsidRDefault="00CC4677" w:rsidP="00CC4677">
      <w:pPr>
        <w:pStyle w:val="ListParagraph"/>
        <w:widowControl w:val="0"/>
        <w:numPr>
          <w:ilvl w:val="1"/>
          <w:numId w:val="5"/>
        </w:numPr>
        <w:tabs>
          <w:tab w:val="left" w:pos="860"/>
          <w:tab w:val="left" w:pos="861"/>
        </w:tabs>
        <w:autoSpaceDE w:val="0"/>
        <w:autoSpaceDN w:val="0"/>
        <w:spacing w:after="0" w:line="293" w:lineRule="exact"/>
        <w:ind w:left="860" w:hanging="361"/>
        <w:contextualSpacing w:val="0"/>
        <w:rPr>
          <w:rFonts w:ascii="Arial" w:hAnsi="Arial" w:cs="Arial"/>
          <w:sz w:val="24"/>
        </w:rPr>
      </w:pPr>
      <w:r w:rsidRPr="00CC4677">
        <w:rPr>
          <w:rFonts w:ascii="Arial" w:hAnsi="Arial" w:cs="Arial"/>
          <w:sz w:val="24"/>
        </w:rPr>
        <w:t>Attachment</w:t>
      </w:r>
      <w:r w:rsidRPr="00CC4677">
        <w:rPr>
          <w:rFonts w:ascii="Arial" w:hAnsi="Arial" w:cs="Arial"/>
          <w:spacing w:val="-4"/>
          <w:sz w:val="24"/>
        </w:rPr>
        <w:t xml:space="preserve"> </w:t>
      </w:r>
      <w:r w:rsidRPr="00CC4677">
        <w:rPr>
          <w:rFonts w:ascii="Arial" w:hAnsi="Arial" w:cs="Arial"/>
          <w:sz w:val="24"/>
        </w:rPr>
        <w:t>2 –</w:t>
      </w:r>
      <w:r w:rsidRPr="00CC4677">
        <w:rPr>
          <w:rFonts w:ascii="Arial" w:hAnsi="Arial" w:cs="Arial"/>
          <w:spacing w:val="-3"/>
          <w:sz w:val="24"/>
        </w:rPr>
        <w:t xml:space="preserve"> </w:t>
      </w:r>
      <w:r w:rsidR="00501B47">
        <w:rPr>
          <w:rFonts w:ascii="Arial" w:hAnsi="Arial" w:cs="Arial"/>
          <w:spacing w:val="-3"/>
          <w:sz w:val="24"/>
        </w:rPr>
        <w:t xml:space="preserve">CHOICE </w:t>
      </w:r>
      <w:r w:rsidRPr="00CC4677">
        <w:rPr>
          <w:rFonts w:ascii="Arial" w:hAnsi="Arial" w:cs="Arial"/>
          <w:sz w:val="24"/>
        </w:rPr>
        <w:t>Cycle</w:t>
      </w:r>
      <w:r w:rsidRPr="00CC4677">
        <w:rPr>
          <w:rFonts w:ascii="Arial" w:hAnsi="Arial" w:cs="Arial"/>
          <w:spacing w:val="-2"/>
          <w:sz w:val="24"/>
        </w:rPr>
        <w:t xml:space="preserve"> </w:t>
      </w:r>
      <w:r w:rsidRPr="00CC4677">
        <w:rPr>
          <w:rFonts w:ascii="Arial" w:hAnsi="Arial" w:cs="Arial"/>
          <w:sz w:val="24"/>
        </w:rPr>
        <w:t>XII</w:t>
      </w:r>
      <w:r w:rsidRPr="00CC4677">
        <w:rPr>
          <w:rFonts w:ascii="Arial" w:hAnsi="Arial" w:cs="Arial"/>
          <w:spacing w:val="-3"/>
          <w:sz w:val="24"/>
        </w:rPr>
        <w:t xml:space="preserve"> </w:t>
      </w:r>
      <w:r w:rsidRPr="00CC4677">
        <w:rPr>
          <w:rFonts w:ascii="Arial" w:hAnsi="Arial" w:cs="Arial"/>
          <w:sz w:val="24"/>
        </w:rPr>
        <w:t>Funding</w:t>
      </w:r>
      <w:r w:rsidRPr="00CC4677">
        <w:rPr>
          <w:rFonts w:ascii="Arial" w:hAnsi="Arial" w:cs="Arial"/>
          <w:spacing w:val="-3"/>
          <w:sz w:val="24"/>
        </w:rPr>
        <w:t xml:space="preserve"> </w:t>
      </w:r>
      <w:r w:rsidRPr="00CC4677">
        <w:rPr>
          <w:rFonts w:ascii="Arial" w:hAnsi="Arial" w:cs="Arial"/>
          <w:sz w:val="24"/>
        </w:rPr>
        <w:t>Recommendations</w:t>
      </w:r>
    </w:p>
    <w:p w14:paraId="6FDA56E9" w14:textId="77777777" w:rsidR="00CC4677" w:rsidRPr="00CC4677" w:rsidRDefault="00CC4677" w:rsidP="00CC4677">
      <w:pPr>
        <w:pStyle w:val="ListParagraph"/>
        <w:widowControl w:val="0"/>
        <w:numPr>
          <w:ilvl w:val="1"/>
          <w:numId w:val="5"/>
        </w:numPr>
        <w:tabs>
          <w:tab w:val="left" w:pos="860"/>
          <w:tab w:val="left" w:pos="861"/>
        </w:tabs>
        <w:autoSpaceDE w:val="0"/>
        <w:autoSpaceDN w:val="0"/>
        <w:spacing w:after="0" w:line="293" w:lineRule="exact"/>
        <w:ind w:left="860" w:hanging="361"/>
        <w:contextualSpacing w:val="0"/>
        <w:rPr>
          <w:rFonts w:ascii="Arial" w:hAnsi="Arial" w:cs="Arial"/>
          <w:sz w:val="24"/>
        </w:rPr>
      </w:pPr>
      <w:r w:rsidRPr="00CC4677">
        <w:rPr>
          <w:rFonts w:ascii="Arial" w:hAnsi="Arial" w:cs="Arial"/>
          <w:sz w:val="24"/>
        </w:rPr>
        <w:t>Resolution/Exhibit</w:t>
      </w:r>
      <w:r w:rsidRPr="00CC4677">
        <w:rPr>
          <w:rFonts w:ascii="Arial" w:hAnsi="Arial" w:cs="Arial"/>
          <w:spacing w:val="-2"/>
          <w:sz w:val="24"/>
        </w:rPr>
        <w:t xml:space="preserve"> </w:t>
      </w:r>
      <w:r w:rsidRPr="00CC4677">
        <w:rPr>
          <w:rFonts w:ascii="Arial" w:hAnsi="Arial" w:cs="Arial"/>
          <w:sz w:val="24"/>
        </w:rPr>
        <w:t>A</w:t>
      </w:r>
      <w:r w:rsidRPr="00CC4677">
        <w:rPr>
          <w:rFonts w:ascii="Arial" w:hAnsi="Arial" w:cs="Arial"/>
          <w:spacing w:val="1"/>
          <w:sz w:val="24"/>
        </w:rPr>
        <w:t xml:space="preserve"> </w:t>
      </w:r>
      <w:r w:rsidRPr="00CC4677">
        <w:rPr>
          <w:rFonts w:ascii="Arial" w:hAnsi="Arial" w:cs="Arial"/>
          <w:sz w:val="24"/>
        </w:rPr>
        <w:t>-</w:t>
      </w:r>
      <w:r w:rsidRPr="00CC4677">
        <w:rPr>
          <w:rFonts w:ascii="Arial" w:hAnsi="Arial" w:cs="Arial"/>
          <w:spacing w:val="-5"/>
          <w:sz w:val="24"/>
        </w:rPr>
        <w:t xml:space="preserve"> </w:t>
      </w:r>
      <w:r w:rsidRPr="00CC4677">
        <w:rPr>
          <w:rFonts w:ascii="Arial" w:hAnsi="Arial" w:cs="Arial"/>
          <w:sz w:val="24"/>
        </w:rPr>
        <w:t>CHOICE</w:t>
      </w:r>
      <w:r w:rsidRPr="00CC4677">
        <w:rPr>
          <w:rFonts w:ascii="Arial" w:hAnsi="Arial" w:cs="Arial"/>
          <w:spacing w:val="-1"/>
          <w:sz w:val="24"/>
        </w:rPr>
        <w:t xml:space="preserve"> </w:t>
      </w:r>
      <w:r w:rsidRPr="00CC4677">
        <w:rPr>
          <w:rFonts w:ascii="Arial" w:hAnsi="Arial" w:cs="Arial"/>
          <w:sz w:val="24"/>
        </w:rPr>
        <w:t>Cycle</w:t>
      </w:r>
      <w:r w:rsidRPr="00CC4677">
        <w:rPr>
          <w:rFonts w:ascii="Arial" w:hAnsi="Arial" w:cs="Arial"/>
          <w:spacing w:val="-1"/>
          <w:sz w:val="24"/>
        </w:rPr>
        <w:t xml:space="preserve"> </w:t>
      </w:r>
      <w:r w:rsidRPr="00CC4677">
        <w:rPr>
          <w:rFonts w:ascii="Arial" w:hAnsi="Arial" w:cs="Arial"/>
          <w:sz w:val="24"/>
        </w:rPr>
        <w:t>XII</w:t>
      </w:r>
      <w:r w:rsidRPr="00CC4677">
        <w:rPr>
          <w:rFonts w:ascii="Arial" w:hAnsi="Arial" w:cs="Arial"/>
          <w:spacing w:val="-4"/>
          <w:sz w:val="24"/>
        </w:rPr>
        <w:t xml:space="preserve"> </w:t>
      </w:r>
      <w:r w:rsidRPr="00CC4677">
        <w:rPr>
          <w:rFonts w:ascii="Arial" w:hAnsi="Arial" w:cs="Arial"/>
          <w:sz w:val="24"/>
        </w:rPr>
        <w:t>Funding</w:t>
      </w:r>
      <w:r w:rsidRPr="00CC4677">
        <w:rPr>
          <w:rFonts w:ascii="Arial" w:hAnsi="Arial" w:cs="Arial"/>
          <w:spacing w:val="-1"/>
          <w:sz w:val="24"/>
        </w:rPr>
        <w:t xml:space="preserve"> </w:t>
      </w:r>
      <w:r w:rsidRPr="00CC4677">
        <w:rPr>
          <w:rFonts w:ascii="Arial" w:hAnsi="Arial" w:cs="Arial"/>
          <w:sz w:val="24"/>
        </w:rPr>
        <w:t>Recommendations</w:t>
      </w:r>
    </w:p>
    <w:p w14:paraId="264528D9" w14:textId="77777777" w:rsidR="00CC4677" w:rsidRPr="00CC4677" w:rsidRDefault="00CC4677" w:rsidP="00CC4677">
      <w:pPr>
        <w:pStyle w:val="ListParagraph"/>
        <w:widowControl w:val="0"/>
        <w:numPr>
          <w:ilvl w:val="1"/>
          <w:numId w:val="5"/>
        </w:numPr>
        <w:tabs>
          <w:tab w:val="left" w:pos="860"/>
          <w:tab w:val="left" w:pos="861"/>
        </w:tabs>
        <w:autoSpaceDE w:val="0"/>
        <w:autoSpaceDN w:val="0"/>
        <w:spacing w:after="0" w:line="293" w:lineRule="exact"/>
        <w:ind w:left="860" w:hanging="361"/>
        <w:contextualSpacing w:val="0"/>
        <w:rPr>
          <w:rFonts w:ascii="Arial" w:hAnsi="Arial" w:cs="Arial"/>
          <w:sz w:val="24"/>
        </w:rPr>
      </w:pPr>
      <w:r w:rsidRPr="00CC4677">
        <w:rPr>
          <w:rFonts w:ascii="Arial" w:hAnsi="Arial" w:cs="Arial"/>
          <w:sz w:val="24"/>
        </w:rPr>
        <w:t>Resolution/Exhibit B - CHOICE Cycle XII Funding Agreement Template</w:t>
      </w:r>
    </w:p>
    <w:p w14:paraId="76986E9B" w14:textId="77777777" w:rsidR="008975AF" w:rsidRDefault="008975AF" w:rsidP="008975AF">
      <w:pPr>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8975AF">
      <w:pPr>
        <w:spacing w:after="0" w:line="240" w:lineRule="auto"/>
        <w:rPr>
          <w:rFonts w:ascii="Arial" w:hAnsi="Arial" w:cs="Arial"/>
          <w:sz w:val="24"/>
          <w:szCs w:val="24"/>
        </w:rPr>
      </w:pPr>
    </w:p>
    <w:p w14:paraId="76986E9F" w14:textId="29D3F1E3" w:rsidR="003E2CAC" w:rsidRPr="0033698E" w:rsidRDefault="00CC4677" w:rsidP="0033698E">
      <w:pPr>
        <w:spacing w:after="0" w:line="240" w:lineRule="auto"/>
        <w:rPr>
          <w:rFonts w:ascii="Arial" w:hAnsi="Arial" w:cs="Arial"/>
          <w:sz w:val="24"/>
          <w:szCs w:val="24"/>
        </w:rPr>
      </w:pPr>
      <w:r w:rsidRPr="00C1698D">
        <w:rPr>
          <w:rFonts w:ascii="Arial" w:hAnsi="Arial" w:cs="Arial"/>
          <w:sz w:val="24"/>
          <w:szCs w:val="24"/>
        </w:rPr>
        <w:t xml:space="preserve">Danielle </w:t>
      </w:r>
      <w:r w:rsidR="00CD3A0D" w:rsidRPr="00C1698D">
        <w:rPr>
          <w:rFonts w:ascii="Arial" w:hAnsi="Arial" w:cs="Arial"/>
          <w:sz w:val="24"/>
          <w:szCs w:val="24"/>
        </w:rPr>
        <w:t>Gardu</w:t>
      </w:r>
      <w:r w:rsidR="00CD3A0D" w:rsidRPr="00C1698D">
        <w:rPr>
          <w:rFonts w:ascii="Arial" w:hAnsi="Arial" w:cs="Arial"/>
          <w:sz w:val="24"/>
          <w:szCs w:val="24"/>
          <w:shd w:val="clear" w:color="auto" w:fill="FFFFFF"/>
        </w:rPr>
        <w:t>ñ</w:t>
      </w:r>
      <w:r w:rsidR="00CD3A0D" w:rsidRPr="00C1698D">
        <w:rPr>
          <w:rFonts w:ascii="Arial" w:hAnsi="Arial" w:cs="Arial"/>
          <w:sz w:val="24"/>
          <w:szCs w:val="24"/>
        </w:rPr>
        <w:t>o</w:t>
      </w:r>
      <w:r w:rsidRPr="00C1698D">
        <w:rPr>
          <w:rFonts w:ascii="Arial" w:hAnsi="Arial" w:cs="Arial"/>
          <w:sz w:val="24"/>
          <w:szCs w:val="24"/>
        </w:rPr>
        <w:t xml:space="preserve">, </w:t>
      </w:r>
      <w:r>
        <w:rPr>
          <w:rFonts w:ascii="Arial" w:hAnsi="Arial" w:cs="Arial"/>
          <w:sz w:val="24"/>
          <w:szCs w:val="24"/>
        </w:rPr>
        <w:t>Violence Prevention Program Manager</w:t>
      </w:r>
    </w:p>
    <w:sectPr w:rsidR="003E2CAC" w:rsidRPr="0033698E" w:rsidSect="008205B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78FF7" w14:textId="77777777" w:rsidR="0008375C" w:rsidRDefault="0008375C" w:rsidP="00F551AC">
      <w:pPr>
        <w:spacing w:after="0" w:line="240" w:lineRule="auto"/>
      </w:pPr>
      <w:r>
        <w:separator/>
      </w:r>
    </w:p>
  </w:endnote>
  <w:endnote w:type="continuationSeparator" w:id="0">
    <w:p w14:paraId="1A55141A" w14:textId="77777777" w:rsidR="0008375C" w:rsidRDefault="0008375C"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B7283" w14:textId="77777777" w:rsidR="0008375C" w:rsidRDefault="0008375C" w:rsidP="00F551AC">
      <w:pPr>
        <w:spacing w:after="0" w:line="240" w:lineRule="auto"/>
      </w:pPr>
      <w:r>
        <w:separator/>
      </w:r>
    </w:p>
  </w:footnote>
  <w:footnote w:type="continuationSeparator" w:id="0">
    <w:p w14:paraId="018435FD" w14:textId="77777777" w:rsidR="0008375C" w:rsidRDefault="0008375C"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E6B8" w14:textId="77777777" w:rsidR="009034A8" w:rsidRPr="009034A8" w:rsidRDefault="009034A8" w:rsidP="009034A8">
    <w:pPr>
      <w:spacing w:after="0"/>
      <w:rPr>
        <w:rFonts w:ascii="Arial" w:hAnsi="Arial" w:cs="Arial"/>
        <w:spacing w:val="-5"/>
        <w:sz w:val="24"/>
      </w:rPr>
    </w:pPr>
    <w:r w:rsidRPr="009034A8">
      <w:rPr>
        <w:rFonts w:ascii="Arial" w:hAnsi="Arial" w:cs="Arial"/>
        <w:spacing w:val="-6"/>
        <w:sz w:val="24"/>
      </w:rPr>
      <w:t>MEASURE</w:t>
    </w:r>
    <w:r w:rsidRPr="009034A8">
      <w:rPr>
        <w:rFonts w:ascii="Arial" w:hAnsi="Arial" w:cs="Arial"/>
        <w:spacing w:val="-11"/>
        <w:sz w:val="24"/>
      </w:rPr>
      <w:t xml:space="preserve"> </w:t>
    </w:r>
    <w:r w:rsidRPr="009034A8">
      <w:rPr>
        <w:rFonts w:ascii="Arial" w:hAnsi="Arial" w:cs="Arial"/>
        <w:spacing w:val="-6"/>
        <w:sz w:val="24"/>
      </w:rPr>
      <w:t>H</w:t>
    </w:r>
    <w:r w:rsidRPr="009034A8">
      <w:rPr>
        <w:rFonts w:ascii="Arial" w:hAnsi="Arial" w:cs="Arial"/>
        <w:spacing w:val="-10"/>
        <w:sz w:val="24"/>
      </w:rPr>
      <w:t xml:space="preserve"> </w:t>
    </w:r>
    <w:r w:rsidRPr="009034A8">
      <w:rPr>
        <w:rFonts w:ascii="Arial" w:hAnsi="Arial" w:cs="Arial"/>
        <w:spacing w:val="-6"/>
        <w:sz w:val="24"/>
      </w:rPr>
      <w:t>CYCLE</w:t>
    </w:r>
    <w:r w:rsidRPr="009034A8">
      <w:rPr>
        <w:rFonts w:ascii="Arial" w:hAnsi="Arial" w:cs="Arial"/>
        <w:spacing w:val="-10"/>
        <w:sz w:val="24"/>
      </w:rPr>
      <w:t xml:space="preserve"> </w:t>
    </w:r>
    <w:r w:rsidRPr="009034A8">
      <w:rPr>
        <w:rFonts w:ascii="Arial" w:hAnsi="Arial" w:cs="Arial"/>
        <w:spacing w:val="-6"/>
        <w:sz w:val="24"/>
      </w:rPr>
      <w:t>XII</w:t>
    </w:r>
    <w:r w:rsidRPr="009034A8">
      <w:rPr>
        <w:rFonts w:ascii="Arial" w:hAnsi="Arial" w:cs="Arial"/>
        <w:spacing w:val="-13"/>
        <w:sz w:val="24"/>
      </w:rPr>
      <w:t xml:space="preserve"> </w:t>
    </w:r>
    <w:r w:rsidRPr="009034A8">
      <w:rPr>
        <w:rFonts w:ascii="Arial" w:hAnsi="Arial" w:cs="Arial"/>
        <w:spacing w:val="-6"/>
        <w:sz w:val="24"/>
      </w:rPr>
      <w:t>CHOICE</w:t>
    </w:r>
    <w:r w:rsidRPr="009034A8">
      <w:rPr>
        <w:rFonts w:ascii="Arial" w:hAnsi="Arial" w:cs="Arial"/>
        <w:spacing w:val="-11"/>
        <w:sz w:val="24"/>
      </w:rPr>
      <w:t xml:space="preserve"> </w:t>
    </w:r>
    <w:r w:rsidRPr="009034A8">
      <w:rPr>
        <w:rFonts w:ascii="Arial" w:hAnsi="Arial" w:cs="Arial"/>
        <w:spacing w:val="-6"/>
        <w:sz w:val="24"/>
      </w:rPr>
      <w:t>GRANT</w:t>
    </w:r>
    <w:r w:rsidRPr="009034A8">
      <w:rPr>
        <w:rFonts w:ascii="Arial" w:hAnsi="Arial" w:cs="Arial"/>
        <w:spacing w:val="-9"/>
        <w:sz w:val="24"/>
      </w:rPr>
      <w:t xml:space="preserve"> </w:t>
    </w:r>
    <w:r w:rsidRPr="009034A8">
      <w:rPr>
        <w:rFonts w:ascii="Arial" w:hAnsi="Arial" w:cs="Arial"/>
        <w:spacing w:val="-6"/>
        <w:sz w:val="24"/>
      </w:rPr>
      <w:t>PROGRAM</w:t>
    </w:r>
    <w:r w:rsidRPr="009034A8">
      <w:rPr>
        <w:rFonts w:ascii="Arial" w:hAnsi="Arial" w:cs="Arial"/>
        <w:spacing w:val="-12"/>
        <w:sz w:val="24"/>
      </w:rPr>
      <w:t xml:space="preserve"> </w:t>
    </w:r>
    <w:r w:rsidRPr="009034A8">
      <w:rPr>
        <w:rFonts w:ascii="Arial" w:hAnsi="Arial" w:cs="Arial"/>
        <w:spacing w:val="-6"/>
        <w:sz w:val="24"/>
      </w:rPr>
      <w:t>FUNDING</w:t>
    </w:r>
    <w:r w:rsidRPr="009034A8">
      <w:rPr>
        <w:rFonts w:ascii="Arial" w:hAnsi="Arial" w:cs="Arial"/>
        <w:spacing w:val="-10"/>
        <w:sz w:val="24"/>
      </w:rPr>
      <w:t xml:space="preserve"> </w:t>
    </w:r>
    <w:r w:rsidRPr="009034A8">
      <w:rPr>
        <w:rFonts w:ascii="Arial" w:hAnsi="Arial" w:cs="Arial"/>
        <w:spacing w:val="-5"/>
        <w:sz w:val="24"/>
      </w:rPr>
      <w:t>RECOMMENDATIONS</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E013" w14:textId="77777777" w:rsidR="00E210BA" w:rsidRPr="00E210BA" w:rsidRDefault="00E210BA" w:rsidP="00E210BA">
    <w:pPr>
      <w:spacing w:after="0"/>
      <w:ind w:left="20"/>
      <w:rPr>
        <w:rFonts w:ascii="Arial" w:hAnsi="Arial" w:cs="Arial"/>
        <w:spacing w:val="-64"/>
        <w:sz w:val="24"/>
      </w:rPr>
    </w:pPr>
    <w:r w:rsidRPr="00E210BA">
      <w:rPr>
        <w:rFonts w:ascii="Arial" w:hAnsi="Arial" w:cs="Arial"/>
        <w:spacing w:val="-6"/>
        <w:sz w:val="24"/>
      </w:rPr>
      <w:t>MEASURE</w:t>
    </w:r>
    <w:r w:rsidRPr="00E210BA">
      <w:rPr>
        <w:rFonts w:ascii="Arial" w:hAnsi="Arial" w:cs="Arial"/>
        <w:spacing w:val="-11"/>
        <w:sz w:val="24"/>
      </w:rPr>
      <w:t xml:space="preserve"> </w:t>
    </w:r>
    <w:r w:rsidRPr="00E210BA">
      <w:rPr>
        <w:rFonts w:ascii="Arial" w:hAnsi="Arial" w:cs="Arial"/>
        <w:spacing w:val="-6"/>
        <w:sz w:val="24"/>
      </w:rPr>
      <w:t>H</w:t>
    </w:r>
    <w:r w:rsidRPr="00E210BA">
      <w:rPr>
        <w:rFonts w:ascii="Arial" w:hAnsi="Arial" w:cs="Arial"/>
        <w:spacing w:val="-10"/>
        <w:sz w:val="24"/>
      </w:rPr>
      <w:t xml:space="preserve"> </w:t>
    </w:r>
    <w:r w:rsidRPr="00E210BA">
      <w:rPr>
        <w:rFonts w:ascii="Arial" w:hAnsi="Arial" w:cs="Arial"/>
        <w:spacing w:val="-6"/>
        <w:sz w:val="24"/>
      </w:rPr>
      <w:t>CYCLE</w:t>
    </w:r>
    <w:r w:rsidRPr="00E210BA">
      <w:rPr>
        <w:rFonts w:ascii="Arial" w:hAnsi="Arial" w:cs="Arial"/>
        <w:spacing w:val="-10"/>
        <w:sz w:val="24"/>
      </w:rPr>
      <w:t xml:space="preserve"> </w:t>
    </w:r>
    <w:r w:rsidRPr="00E210BA">
      <w:rPr>
        <w:rFonts w:ascii="Arial" w:hAnsi="Arial" w:cs="Arial"/>
        <w:spacing w:val="-6"/>
        <w:sz w:val="24"/>
      </w:rPr>
      <w:t>XII</w:t>
    </w:r>
    <w:r w:rsidRPr="00E210BA">
      <w:rPr>
        <w:rFonts w:ascii="Arial" w:hAnsi="Arial" w:cs="Arial"/>
        <w:spacing w:val="-13"/>
        <w:sz w:val="24"/>
      </w:rPr>
      <w:t xml:space="preserve"> </w:t>
    </w:r>
    <w:r w:rsidRPr="00E210BA">
      <w:rPr>
        <w:rFonts w:ascii="Arial" w:hAnsi="Arial" w:cs="Arial"/>
        <w:spacing w:val="-6"/>
        <w:sz w:val="24"/>
      </w:rPr>
      <w:t>CHOICE</w:t>
    </w:r>
    <w:r w:rsidRPr="00E210BA">
      <w:rPr>
        <w:rFonts w:ascii="Arial" w:hAnsi="Arial" w:cs="Arial"/>
        <w:spacing w:val="-11"/>
        <w:sz w:val="24"/>
      </w:rPr>
      <w:t xml:space="preserve"> </w:t>
    </w:r>
    <w:r w:rsidRPr="00E210BA">
      <w:rPr>
        <w:rFonts w:ascii="Arial" w:hAnsi="Arial" w:cs="Arial"/>
        <w:spacing w:val="-6"/>
        <w:sz w:val="24"/>
      </w:rPr>
      <w:t>GRANT</w:t>
    </w:r>
    <w:r w:rsidRPr="00E210BA">
      <w:rPr>
        <w:rFonts w:ascii="Arial" w:hAnsi="Arial" w:cs="Arial"/>
        <w:spacing w:val="-9"/>
        <w:sz w:val="24"/>
      </w:rPr>
      <w:t xml:space="preserve"> </w:t>
    </w:r>
    <w:r w:rsidRPr="00E210BA">
      <w:rPr>
        <w:rFonts w:ascii="Arial" w:hAnsi="Arial" w:cs="Arial"/>
        <w:spacing w:val="-6"/>
        <w:sz w:val="24"/>
      </w:rPr>
      <w:t>PROGRAM</w:t>
    </w:r>
    <w:r w:rsidRPr="00E210BA">
      <w:rPr>
        <w:rFonts w:ascii="Arial" w:hAnsi="Arial" w:cs="Arial"/>
        <w:spacing w:val="-12"/>
        <w:sz w:val="24"/>
      </w:rPr>
      <w:t xml:space="preserve"> </w:t>
    </w:r>
    <w:r w:rsidRPr="00E210BA">
      <w:rPr>
        <w:rFonts w:ascii="Arial" w:hAnsi="Arial" w:cs="Arial"/>
        <w:spacing w:val="-6"/>
        <w:sz w:val="24"/>
      </w:rPr>
      <w:t>FUNDING</w:t>
    </w:r>
    <w:r w:rsidRPr="00E210BA">
      <w:rPr>
        <w:rFonts w:ascii="Arial" w:hAnsi="Arial" w:cs="Arial"/>
        <w:spacing w:val="-10"/>
        <w:sz w:val="24"/>
      </w:rPr>
      <w:t xml:space="preserve"> </w:t>
    </w:r>
    <w:r w:rsidRPr="00E210BA">
      <w:rPr>
        <w:rFonts w:ascii="Arial" w:hAnsi="Arial" w:cs="Arial"/>
        <w:spacing w:val="-5"/>
        <w:sz w:val="24"/>
      </w:rPr>
      <w:t>RECOMMENDATIONS</w:t>
    </w:r>
    <w:r w:rsidRPr="00E210BA">
      <w:rPr>
        <w:rFonts w:ascii="Arial" w:hAnsi="Arial" w:cs="Arial"/>
        <w:spacing w:val="-64"/>
        <w:sz w:val="24"/>
      </w:rPr>
      <w:t xml:space="preserve">            </w:t>
    </w:r>
  </w:p>
  <w:p w14:paraId="325BDCC2" w14:textId="54A07791" w:rsidR="00E210BA" w:rsidRPr="00E210BA" w:rsidRDefault="00E210BA" w:rsidP="00E210BA">
    <w:pPr>
      <w:spacing w:after="0"/>
      <w:ind w:left="20"/>
      <w:rPr>
        <w:rFonts w:ascii="Arial" w:hAnsi="Arial" w:cs="Arial"/>
        <w:sz w:val="24"/>
      </w:rPr>
    </w:pPr>
    <w:r w:rsidRPr="00E210BA">
      <w:rPr>
        <w:rFonts w:ascii="Arial" w:hAnsi="Arial" w:cs="Arial"/>
        <w:sz w:val="24"/>
      </w:rPr>
      <w:t>PAGE</w:t>
    </w:r>
    <w:r w:rsidRPr="00E210BA">
      <w:rPr>
        <w:rFonts w:ascii="Arial" w:hAnsi="Arial" w:cs="Arial"/>
        <w:spacing w:val="-1"/>
        <w:sz w:val="24"/>
      </w:rPr>
      <w:t xml:space="preserve"> </w:t>
    </w:r>
    <w:r w:rsidRPr="00E210BA">
      <w:rPr>
        <w:rFonts w:ascii="Arial" w:hAnsi="Arial" w:cs="Arial"/>
      </w:rPr>
      <w:fldChar w:fldCharType="begin"/>
    </w:r>
    <w:r w:rsidRPr="00E210BA">
      <w:rPr>
        <w:rFonts w:ascii="Arial" w:hAnsi="Arial" w:cs="Arial"/>
        <w:sz w:val="24"/>
      </w:rPr>
      <w:instrText xml:space="preserve"> PAGE </w:instrText>
    </w:r>
    <w:r w:rsidRPr="00E210BA">
      <w:rPr>
        <w:rFonts w:ascii="Arial" w:hAnsi="Arial" w:cs="Arial"/>
      </w:rPr>
      <w:fldChar w:fldCharType="separate"/>
    </w:r>
    <w:r w:rsidRPr="00E210BA">
      <w:rPr>
        <w:rFonts w:ascii="Arial" w:hAnsi="Arial" w:cs="Arial"/>
      </w:rPr>
      <w:t>1</w:t>
    </w:r>
    <w:r w:rsidRPr="00E210BA">
      <w:rPr>
        <w:rFonts w:ascii="Arial" w:hAnsi="Arial" w:cs="Arial"/>
      </w:rPr>
      <w:fldChar w:fldCharType="end"/>
    </w:r>
    <w:r w:rsidRPr="00E210BA">
      <w:rPr>
        <w:rFonts w:ascii="Arial" w:hAnsi="Arial" w:cs="Arial"/>
        <w:spacing w:val="1"/>
        <w:sz w:val="24"/>
      </w:rPr>
      <w:t xml:space="preserve"> </w:t>
    </w:r>
    <w:r w:rsidRPr="00E210BA">
      <w:rPr>
        <w:rFonts w:ascii="Arial" w:hAnsi="Arial" w:cs="Arial"/>
        <w:sz w:val="24"/>
      </w:rPr>
      <w:t>OF</w:t>
    </w:r>
    <w:r w:rsidRPr="00E210BA">
      <w:rPr>
        <w:rFonts w:ascii="Arial" w:hAnsi="Arial" w:cs="Arial"/>
        <w:spacing w:val="-2"/>
        <w:sz w:val="24"/>
      </w:rPr>
      <w:t xml:space="preserve"> </w:t>
    </w:r>
    <w:r w:rsidRPr="00E210BA">
      <w:rPr>
        <w:rFonts w:ascii="Arial" w:hAnsi="Arial" w:cs="Arial"/>
        <w:sz w:val="24"/>
      </w:rPr>
      <w:t>5</w:t>
    </w:r>
  </w:p>
  <w:p w14:paraId="3E8DF235" w14:textId="77777777" w:rsidR="00E210BA" w:rsidRDefault="00E21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E2CB5"/>
    <w:multiLevelType w:val="hybridMultilevel"/>
    <w:tmpl w:val="C0840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B5128"/>
    <w:multiLevelType w:val="hybridMultilevel"/>
    <w:tmpl w:val="5630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D3E62"/>
    <w:multiLevelType w:val="hybridMultilevel"/>
    <w:tmpl w:val="EE888060"/>
    <w:lvl w:ilvl="0" w:tplc="4DECA8AE">
      <w:numFmt w:val="bullet"/>
      <w:lvlText w:val="•"/>
      <w:lvlJc w:val="left"/>
      <w:pPr>
        <w:ind w:left="860" w:hanging="449"/>
      </w:pPr>
      <w:rPr>
        <w:rFonts w:ascii="Times New Roman" w:eastAsia="Times New Roman" w:hAnsi="Times New Roman" w:cs="Times New Roman" w:hint="default"/>
        <w:b w:val="0"/>
        <w:bCs w:val="0"/>
        <w:i w:val="0"/>
        <w:iCs w:val="0"/>
        <w:w w:val="100"/>
        <w:sz w:val="24"/>
        <w:szCs w:val="24"/>
        <w:lang w:val="en-US" w:eastAsia="en-US" w:bidi="ar-SA"/>
      </w:rPr>
    </w:lvl>
    <w:lvl w:ilvl="1" w:tplc="846A7750">
      <w:numFmt w:val="bullet"/>
      <w:lvlText w:val=""/>
      <w:lvlJc w:val="left"/>
      <w:pPr>
        <w:ind w:left="140" w:hanging="360"/>
      </w:pPr>
      <w:rPr>
        <w:rFonts w:ascii="Symbol" w:eastAsia="Symbol" w:hAnsi="Symbol" w:cs="Symbol" w:hint="default"/>
        <w:b w:val="0"/>
        <w:bCs w:val="0"/>
        <w:i w:val="0"/>
        <w:iCs w:val="0"/>
        <w:w w:val="100"/>
        <w:sz w:val="24"/>
        <w:szCs w:val="24"/>
        <w:lang w:val="en-US" w:eastAsia="en-US" w:bidi="ar-SA"/>
      </w:rPr>
    </w:lvl>
    <w:lvl w:ilvl="2" w:tplc="B91E55FC">
      <w:numFmt w:val="bullet"/>
      <w:lvlText w:val="•"/>
      <w:lvlJc w:val="left"/>
      <w:pPr>
        <w:ind w:left="1835" w:hanging="360"/>
      </w:pPr>
      <w:rPr>
        <w:rFonts w:hint="default"/>
        <w:lang w:val="en-US" w:eastAsia="en-US" w:bidi="ar-SA"/>
      </w:rPr>
    </w:lvl>
    <w:lvl w:ilvl="3" w:tplc="395CE662">
      <w:numFmt w:val="bullet"/>
      <w:lvlText w:val="•"/>
      <w:lvlJc w:val="left"/>
      <w:pPr>
        <w:ind w:left="2811" w:hanging="360"/>
      </w:pPr>
      <w:rPr>
        <w:rFonts w:hint="default"/>
        <w:lang w:val="en-US" w:eastAsia="en-US" w:bidi="ar-SA"/>
      </w:rPr>
    </w:lvl>
    <w:lvl w:ilvl="4" w:tplc="D396E00C">
      <w:numFmt w:val="bullet"/>
      <w:lvlText w:val="•"/>
      <w:lvlJc w:val="left"/>
      <w:pPr>
        <w:ind w:left="3786" w:hanging="360"/>
      </w:pPr>
      <w:rPr>
        <w:rFonts w:hint="default"/>
        <w:lang w:val="en-US" w:eastAsia="en-US" w:bidi="ar-SA"/>
      </w:rPr>
    </w:lvl>
    <w:lvl w:ilvl="5" w:tplc="BAE80A1E">
      <w:numFmt w:val="bullet"/>
      <w:lvlText w:val="•"/>
      <w:lvlJc w:val="left"/>
      <w:pPr>
        <w:ind w:left="4762" w:hanging="360"/>
      </w:pPr>
      <w:rPr>
        <w:rFonts w:hint="default"/>
        <w:lang w:val="en-US" w:eastAsia="en-US" w:bidi="ar-SA"/>
      </w:rPr>
    </w:lvl>
    <w:lvl w:ilvl="6" w:tplc="8A1E3A4A">
      <w:numFmt w:val="bullet"/>
      <w:lvlText w:val="•"/>
      <w:lvlJc w:val="left"/>
      <w:pPr>
        <w:ind w:left="5737" w:hanging="360"/>
      </w:pPr>
      <w:rPr>
        <w:rFonts w:hint="default"/>
        <w:lang w:val="en-US" w:eastAsia="en-US" w:bidi="ar-SA"/>
      </w:rPr>
    </w:lvl>
    <w:lvl w:ilvl="7" w:tplc="9DA68180">
      <w:numFmt w:val="bullet"/>
      <w:lvlText w:val="•"/>
      <w:lvlJc w:val="left"/>
      <w:pPr>
        <w:ind w:left="6713" w:hanging="360"/>
      </w:pPr>
      <w:rPr>
        <w:rFonts w:hint="default"/>
        <w:lang w:val="en-US" w:eastAsia="en-US" w:bidi="ar-SA"/>
      </w:rPr>
    </w:lvl>
    <w:lvl w:ilvl="8" w:tplc="6D8AA5AE">
      <w:numFmt w:val="bullet"/>
      <w:lvlText w:val="•"/>
      <w:lvlJc w:val="left"/>
      <w:pPr>
        <w:ind w:left="7688" w:hanging="360"/>
      </w:pPr>
      <w:rPr>
        <w:rFonts w:hint="default"/>
        <w:lang w:val="en-US" w:eastAsia="en-US" w:bidi="ar-SA"/>
      </w:rPr>
    </w:lvl>
  </w:abstractNum>
  <w:num w:numId="1" w16cid:durableId="96023319">
    <w:abstractNumId w:val="4"/>
  </w:num>
  <w:num w:numId="2" w16cid:durableId="514419203">
    <w:abstractNumId w:val="3"/>
  </w:num>
  <w:num w:numId="3" w16cid:durableId="836652512">
    <w:abstractNumId w:val="0"/>
  </w:num>
  <w:num w:numId="4" w16cid:durableId="549726928">
    <w:abstractNumId w:val="1"/>
  </w:num>
  <w:num w:numId="5" w16cid:durableId="1628391811">
    <w:abstractNumId w:val="5"/>
  </w:num>
  <w:num w:numId="6" w16cid:durableId="1624336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10AC"/>
    <w:rsid w:val="0008375C"/>
    <w:rsid w:val="000C0BD9"/>
    <w:rsid w:val="000C1869"/>
    <w:rsid w:val="000F798B"/>
    <w:rsid w:val="00111F42"/>
    <w:rsid w:val="00132C87"/>
    <w:rsid w:val="00142169"/>
    <w:rsid w:val="001475EE"/>
    <w:rsid w:val="00175C11"/>
    <w:rsid w:val="001A5B15"/>
    <w:rsid w:val="00203157"/>
    <w:rsid w:val="0022231F"/>
    <w:rsid w:val="00262852"/>
    <w:rsid w:val="002C24A1"/>
    <w:rsid w:val="002D6F0D"/>
    <w:rsid w:val="0033698E"/>
    <w:rsid w:val="003501F3"/>
    <w:rsid w:val="00350663"/>
    <w:rsid w:val="00357143"/>
    <w:rsid w:val="003856B4"/>
    <w:rsid w:val="003A4072"/>
    <w:rsid w:val="003A7252"/>
    <w:rsid w:val="003E2CAC"/>
    <w:rsid w:val="00444599"/>
    <w:rsid w:val="004C3CD5"/>
    <w:rsid w:val="00501B47"/>
    <w:rsid w:val="00506197"/>
    <w:rsid w:val="00534776"/>
    <w:rsid w:val="00550FB1"/>
    <w:rsid w:val="00573CA1"/>
    <w:rsid w:val="005A406D"/>
    <w:rsid w:val="005C4FC4"/>
    <w:rsid w:val="005E3EED"/>
    <w:rsid w:val="006152C7"/>
    <w:rsid w:val="006347DE"/>
    <w:rsid w:val="00652E94"/>
    <w:rsid w:val="006B5C46"/>
    <w:rsid w:val="0071146C"/>
    <w:rsid w:val="00725A28"/>
    <w:rsid w:val="00756741"/>
    <w:rsid w:val="007D4202"/>
    <w:rsid w:val="007E47F8"/>
    <w:rsid w:val="007F634E"/>
    <w:rsid w:val="008205BD"/>
    <w:rsid w:val="008445AE"/>
    <w:rsid w:val="0087600E"/>
    <w:rsid w:val="008975AF"/>
    <w:rsid w:val="008A1D91"/>
    <w:rsid w:val="008F4B08"/>
    <w:rsid w:val="009015D0"/>
    <w:rsid w:val="009034A8"/>
    <w:rsid w:val="00977B3E"/>
    <w:rsid w:val="009E2B6E"/>
    <w:rsid w:val="009E4075"/>
    <w:rsid w:val="009E4ED8"/>
    <w:rsid w:val="009F230A"/>
    <w:rsid w:val="009F4AC3"/>
    <w:rsid w:val="00A204BD"/>
    <w:rsid w:val="00A403D5"/>
    <w:rsid w:val="00A74A58"/>
    <w:rsid w:val="00AC02C7"/>
    <w:rsid w:val="00BD1B0A"/>
    <w:rsid w:val="00BE3817"/>
    <w:rsid w:val="00BE4D56"/>
    <w:rsid w:val="00C1698D"/>
    <w:rsid w:val="00C46988"/>
    <w:rsid w:val="00C75B3E"/>
    <w:rsid w:val="00CA0A83"/>
    <w:rsid w:val="00CA59B2"/>
    <w:rsid w:val="00CB53C2"/>
    <w:rsid w:val="00CC4677"/>
    <w:rsid w:val="00CD3A0D"/>
    <w:rsid w:val="00DA2DCB"/>
    <w:rsid w:val="00E068E3"/>
    <w:rsid w:val="00E210BA"/>
    <w:rsid w:val="00EB32C6"/>
    <w:rsid w:val="00F03A50"/>
    <w:rsid w:val="00F51E2C"/>
    <w:rsid w:val="00F551AC"/>
    <w:rsid w:val="00F55D5E"/>
    <w:rsid w:val="00F63DDB"/>
    <w:rsid w:val="00F728C2"/>
    <w:rsid w:val="00F74AA0"/>
    <w:rsid w:val="00FB7271"/>
    <w:rsid w:val="00FE1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paragraph" w:styleId="BodyText">
    <w:name w:val="Body Text"/>
    <w:basedOn w:val="Normal"/>
    <w:link w:val="BodyTextChar"/>
    <w:uiPriority w:val="1"/>
    <w:qFormat/>
    <w:rsid w:val="00E210BA"/>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E210BA"/>
    <w:rPr>
      <w:rFonts w:ascii="Arial" w:eastAsia="Arial" w:hAnsi="Arial" w:cs="Arial"/>
      <w:sz w:val="24"/>
      <w:szCs w:val="24"/>
    </w:rPr>
  </w:style>
  <w:style w:type="character" w:styleId="Hyperlink">
    <w:name w:val="Hyperlink"/>
    <w:basedOn w:val="DefaultParagraphFont"/>
    <w:uiPriority w:val="99"/>
    <w:unhideWhenUsed/>
    <w:rsid w:val="008A1D91"/>
    <w:rPr>
      <w:color w:val="0563C1" w:themeColor="hyperlink"/>
      <w:u w:val="single"/>
    </w:rPr>
  </w:style>
  <w:style w:type="paragraph" w:styleId="Revision">
    <w:name w:val="Revision"/>
    <w:hidden/>
    <w:uiPriority w:val="99"/>
    <w:semiHidden/>
    <w:rsid w:val="00F728C2"/>
    <w:pPr>
      <w:spacing w:after="0" w:line="240" w:lineRule="auto"/>
    </w:pPr>
  </w:style>
  <w:style w:type="character" w:styleId="CommentReference">
    <w:name w:val="annotation reference"/>
    <w:basedOn w:val="DefaultParagraphFont"/>
    <w:uiPriority w:val="99"/>
    <w:semiHidden/>
    <w:unhideWhenUsed/>
    <w:rsid w:val="00F728C2"/>
    <w:rPr>
      <w:sz w:val="16"/>
      <w:szCs w:val="16"/>
    </w:rPr>
  </w:style>
  <w:style w:type="paragraph" w:styleId="CommentText">
    <w:name w:val="annotation text"/>
    <w:basedOn w:val="Normal"/>
    <w:link w:val="CommentTextChar"/>
    <w:uiPriority w:val="99"/>
    <w:semiHidden/>
    <w:unhideWhenUsed/>
    <w:rsid w:val="00F728C2"/>
    <w:pPr>
      <w:spacing w:line="240" w:lineRule="auto"/>
    </w:pPr>
    <w:rPr>
      <w:sz w:val="20"/>
      <w:szCs w:val="20"/>
    </w:rPr>
  </w:style>
  <w:style w:type="character" w:customStyle="1" w:styleId="CommentTextChar">
    <w:name w:val="Comment Text Char"/>
    <w:basedOn w:val="DefaultParagraphFont"/>
    <w:link w:val="CommentText"/>
    <w:uiPriority w:val="99"/>
    <w:semiHidden/>
    <w:rsid w:val="00F728C2"/>
    <w:rPr>
      <w:sz w:val="20"/>
      <w:szCs w:val="20"/>
    </w:rPr>
  </w:style>
  <w:style w:type="paragraph" w:styleId="CommentSubject">
    <w:name w:val="annotation subject"/>
    <w:basedOn w:val="CommentText"/>
    <w:next w:val="CommentText"/>
    <w:link w:val="CommentSubjectChar"/>
    <w:uiPriority w:val="99"/>
    <w:semiHidden/>
    <w:unhideWhenUsed/>
    <w:rsid w:val="00F728C2"/>
    <w:rPr>
      <w:b/>
      <w:bCs/>
    </w:rPr>
  </w:style>
  <w:style w:type="character" w:customStyle="1" w:styleId="CommentSubjectChar">
    <w:name w:val="Comment Subject Char"/>
    <w:basedOn w:val="CommentTextChar"/>
    <w:link w:val="CommentSubject"/>
    <w:uiPriority w:val="99"/>
    <w:semiHidden/>
    <w:rsid w:val="00F728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3.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2</cp:revision>
  <dcterms:created xsi:type="dcterms:W3CDTF">2024-09-18T23:22:00Z</dcterms:created>
  <dcterms:modified xsi:type="dcterms:W3CDTF">2024-09-18T23:22:00Z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6bb72fb437dd3a6c6432f4e036312beb0d40c20aec6c01fd2beb065306036b34</vt:lpwstr>
  </property>
</Properties>
</file>